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7818" w14:textId="77777777" w:rsidR="00AE7B7F" w:rsidRDefault="00AE7B7F" w:rsidP="00AE7B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УТОЧНЕНИЕ ПРОГРАММЫ КИРО ОБЪЕКТОВ ЯДЕРНОГО НАСЛЕДИЯ НА ОСНОВЕ НЕЙТРОННО-ФИЗИЧЕСКИХ РАСЧЕТОВ В УСЛОВИЯХ НЕОПРЕДЕЛЕННОСТЕЙ</w:t>
      </w:r>
    </w:p>
    <w:p w14:paraId="2721186C" w14:textId="77777777" w:rsidR="00AE7B7F" w:rsidRDefault="00AE7B7F" w:rsidP="00AE7B7F">
      <w:pPr>
        <w:jc w:val="center"/>
        <w:rPr>
          <w:rFonts w:ascii="Times New Roman" w:hAnsi="Times New Roman" w:cs="Times New Roman"/>
          <w:sz w:val="24"/>
        </w:rPr>
      </w:pPr>
    </w:p>
    <w:p w14:paraId="3BB2A9B2" w14:textId="68607995" w:rsidR="00AE7B7F" w:rsidRDefault="00AE7B7F" w:rsidP="00AE7B7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A22CD">
        <w:rPr>
          <w:rFonts w:ascii="Times New Roman" w:hAnsi="Times New Roman" w:cs="Times New Roman"/>
          <w:sz w:val="28"/>
        </w:rPr>
        <w:t xml:space="preserve">П.А. </w:t>
      </w:r>
      <w:proofErr w:type="spellStart"/>
      <w:r w:rsidRPr="000A22CD">
        <w:rPr>
          <w:rFonts w:ascii="Times New Roman" w:hAnsi="Times New Roman" w:cs="Times New Roman"/>
          <w:sz w:val="28"/>
        </w:rPr>
        <w:t>Кизуб</w:t>
      </w:r>
      <w:proofErr w:type="spellEnd"/>
      <w:r>
        <w:rPr>
          <w:rFonts w:ascii="Times New Roman" w:hAnsi="Times New Roman" w:cs="Times New Roman"/>
          <w:sz w:val="28"/>
        </w:rPr>
        <w:t>, Е.А. Савельева, П.А</w:t>
      </w:r>
      <w:r w:rsidR="00A367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Блохин, А.А. Самойлов</w:t>
      </w:r>
    </w:p>
    <w:p w14:paraId="5024EFEC" w14:textId="77777777" w:rsidR="00AE7B7F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ИБРАЭ РАН, г. Москва</w:t>
      </w:r>
    </w:p>
    <w:p w14:paraId="34151DE8" w14:textId="77777777" w:rsidR="00AE7B7F" w:rsidRPr="00AE7B7F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эл. почта: </w:t>
      </w:r>
      <w:hyperlink r:id="rId6" w:history="1"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kizub</w:t>
        </w:r>
        <w:r w:rsidRPr="00186986">
          <w:rPr>
            <w:rStyle w:val="af4"/>
            <w:rFonts w:ascii="Times New Roman" w:hAnsi="Times New Roman" w:cs="Times New Roman"/>
            <w:sz w:val="24"/>
          </w:rPr>
          <w:t>@</w:t>
        </w:r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ibrae</w:t>
        </w:r>
        <w:r w:rsidRPr="00186986">
          <w:rPr>
            <w:rStyle w:val="af4"/>
            <w:rFonts w:ascii="Times New Roman" w:hAnsi="Times New Roman" w:cs="Times New Roman"/>
            <w:sz w:val="24"/>
          </w:rPr>
          <w:t>.</w:t>
        </w:r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ac</w:t>
        </w:r>
        <w:r w:rsidRPr="00186986">
          <w:rPr>
            <w:rStyle w:val="af4"/>
            <w:rFonts w:ascii="Times New Roman" w:hAnsi="Times New Roman" w:cs="Times New Roman"/>
            <w:sz w:val="24"/>
          </w:rPr>
          <w:t>.</w:t>
        </w:r>
        <w:r w:rsidRPr="00186986">
          <w:rPr>
            <w:rStyle w:val="af4"/>
            <w:rFonts w:ascii="Times New Roman" w:hAnsi="Times New Roman" w:cs="Times New Roman"/>
            <w:sz w:val="24"/>
            <w:lang w:val="en-US"/>
          </w:rPr>
          <w:t>ru</w:t>
        </w:r>
      </w:hyperlink>
    </w:p>
    <w:p w14:paraId="292919B6" w14:textId="77777777" w:rsidR="00AE7B7F" w:rsidRPr="000D0F63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CC1916" w14:textId="77777777" w:rsidR="00AE7B7F" w:rsidRPr="000D0F63" w:rsidRDefault="00AE7B7F" w:rsidP="00AE7B7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8EB1CC9" w14:textId="77777777" w:rsidR="00C94DA0" w:rsidRPr="00C94DA0" w:rsidRDefault="00C94DA0" w:rsidP="00B636CA">
      <w:pPr>
        <w:pStyle w:val="af5"/>
        <w:spacing w:line="276" w:lineRule="auto"/>
        <w:ind w:firstLine="680"/>
        <w:rPr>
          <w:b/>
        </w:rPr>
      </w:pPr>
      <w:r w:rsidRPr="00C94DA0">
        <w:rPr>
          <w:b/>
        </w:rPr>
        <w:t>Введение</w:t>
      </w:r>
    </w:p>
    <w:p w14:paraId="2EBC22E9" w14:textId="24846E2F" w:rsidR="00B636CA" w:rsidRDefault="00A367B9" w:rsidP="00B636CA">
      <w:pPr>
        <w:pStyle w:val="af5"/>
        <w:spacing w:line="276" w:lineRule="auto"/>
        <w:ind w:firstLine="680"/>
      </w:pPr>
      <w:r>
        <w:t>Предварительная оценка</w:t>
      </w:r>
      <w:r w:rsidRPr="008A22DD">
        <w:t xml:space="preserve"> </w:t>
      </w:r>
      <w:r w:rsidR="008A22DD" w:rsidRPr="008A22DD">
        <w:t>радиационной безопасности персонала</w:t>
      </w:r>
      <w:r>
        <w:t xml:space="preserve"> </w:t>
      </w:r>
      <w:r w:rsidR="006F2A3E">
        <w:t>при реализации</w:t>
      </w:r>
      <w:r w:rsidR="00A3154C">
        <w:t xml:space="preserve"> мероприяти</w:t>
      </w:r>
      <w:r w:rsidR="006F2A3E">
        <w:t>й</w:t>
      </w:r>
      <w:r w:rsidR="00A3154C">
        <w:t xml:space="preserve"> по выводу</w:t>
      </w:r>
      <w:r w:rsidR="008A22DD" w:rsidRPr="008A22DD">
        <w:t xml:space="preserve"> из эксплуатации (ВЭ) объектов </w:t>
      </w:r>
      <w:r w:rsidR="008A22DD">
        <w:t>ядерного наследия</w:t>
      </w:r>
      <w:r w:rsidR="00D619F7">
        <w:t xml:space="preserve"> (ОЯН)</w:t>
      </w:r>
      <w:r w:rsidR="00A3154C">
        <w:t xml:space="preserve"> является </w:t>
      </w:r>
      <w:r>
        <w:t xml:space="preserve">важной </w:t>
      </w:r>
      <w:r w:rsidR="00A3154C">
        <w:t xml:space="preserve">задачей, </w:t>
      </w:r>
      <w:r w:rsidR="00932193">
        <w:t xml:space="preserve">для </w:t>
      </w:r>
      <w:r w:rsidR="00A3154C">
        <w:t>решени</w:t>
      </w:r>
      <w:r w:rsidR="00932193">
        <w:t>я</w:t>
      </w:r>
      <w:r w:rsidR="00A3154C">
        <w:t xml:space="preserve"> которой </w:t>
      </w:r>
      <w:r w:rsidR="006F2A3E">
        <w:t>должн</w:t>
      </w:r>
      <w:r w:rsidR="00932193">
        <w:t>ы</w:t>
      </w:r>
      <w:r w:rsidR="006F2A3E">
        <w:t xml:space="preserve"> </w:t>
      </w:r>
      <w:r w:rsidR="00932193">
        <w:t xml:space="preserve">использоваться научно-обоснованные </w:t>
      </w:r>
      <w:proofErr w:type="gramStart"/>
      <w:r w:rsidR="00932193">
        <w:t>методические подходы</w:t>
      </w:r>
      <w:proofErr w:type="gramEnd"/>
      <w:r w:rsidR="00D619F7">
        <w:t xml:space="preserve">. </w:t>
      </w:r>
      <w:r w:rsidR="00932193">
        <w:t xml:space="preserve">Кроме того, качество результатов </w:t>
      </w:r>
      <w:r w:rsidR="0033181B">
        <w:t xml:space="preserve">проведения подобных оценок </w:t>
      </w:r>
      <w:r w:rsidR="00932193">
        <w:t xml:space="preserve">существенно зависит от </w:t>
      </w:r>
      <w:r w:rsidR="006F2A3E">
        <w:t>полнот</w:t>
      </w:r>
      <w:r w:rsidR="00932193">
        <w:t>ы</w:t>
      </w:r>
      <w:r w:rsidR="006F2A3E">
        <w:t xml:space="preserve"> и достоверност</w:t>
      </w:r>
      <w:r w:rsidR="00932193">
        <w:t>и</w:t>
      </w:r>
      <w:r w:rsidR="006F2A3E">
        <w:t xml:space="preserve"> исходных данных, источником которых</w:t>
      </w:r>
      <w:r w:rsidR="000E48C3">
        <w:t>, как правило,</w:t>
      </w:r>
      <w:r w:rsidR="006F2A3E">
        <w:t xml:space="preserve"> </w:t>
      </w:r>
      <w:r w:rsidR="00915978" w:rsidRPr="00915978">
        <w:t xml:space="preserve">кроме прочих </w:t>
      </w:r>
      <w:r w:rsidR="006F2A3E">
        <w:t xml:space="preserve">выступают результаты комплексного инженерного и радиационного обследования (КИРО) ОЯН. </w:t>
      </w:r>
      <w:r w:rsidR="009F67A8">
        <w:t>Анализ опыта реализации</w:t>
      </w:r>
      <w:r w:rsidR="000447EE" w:rsidRPr="000447EE">
        <w:t xml:space="preserve"> </w:t>
      </w:r>
      <w:r w:rsidR="009F67A8">
        <w:t xml:space="preserve">требований к КИРО </w:t>
      </w:r>
      <w:r w:rsidR="000447EE" w:rsidRPr="000447EE">
        <w:t>[</w:t>
      </w:r>
      <w:r w:rsidR="00F1115A">
        <w:t>1</w:t>
      </w:r>
      <w:r w:rsidR="000447EE" w:rsidRPr="000447EE">
        <w:t>]</w:t>
      </w:r>
      <w:r w:rsidR="009F67A8">
        <w:t xml:space="preserve"> на практике показывает, что з</w:t>
      </w:r>
      <w:r w:rsidR="00172168">
        <w:t xml:space="preserve">ачастую </w:t>
      </w:r>
      <w:r w:rsidR="00932193">
        <w:t xml:space="preserve">полученные </w:t>
      </w:r>
      <w:r w:rsidR="009F67A8">
        <w:t>данные</w:t>
      </w:r>
      <w:r w:rsidR="00932193">
        <w:t xml:space="preserve"> </w:t>
      </w:r>
      <w:r w:rsidR="009F67A8">
        <w:t xml:space="preserve"> </w:t>
      </w:r>
      <w:r w:rsidR="00B636CA">
        <w:t xml:space="preserve">не позволяют однозначно интерпретировать и локализовать источники </w:t>
      </w:r>
      <w:r w:rsidR="006F2A3E">
        <w:t xml:space="preserve">ионизирующих </w:t>
      </w:r>
      <w:r w:rsidR="00B636CA">
        <w:t>изл</w:t>
      </w:r>
      <w:r w:rsidR="00172168">
        <w:t>учений:</w:t>
      </w:r>
      <w:r w:rsidR="006F2A3E">
        <w:t xml:space="preserve"> </w:t>
      </w:r>
      <w:r w:rsidR="00172168">
        <w:t xml:space="preserve">отсутствует информация о </w:t>
      </w:r>
      <w:r w:rsidR="006F2A3E">
        <w:t>состав</w:t>
      </w:r>
      <w:r w:rsidR="00172168">
        <w:t>е</w:t>
      </w:r>
      <w:r w:rsidR="006F2A3E">
        <w:t xml:space="preserve"> радиационного загрязнения</w:t>
      </w:r>
      <w:r w:rsidR="008012A2">
        <w:t>,</w:t>
      </w:r>
      <w:r w:rsidR="006F2A3E">
        <w:t xml:space="preserve"> </w:t>
      </w:r>
      <w:r w:rsidR="00172168">
        <w:t>его активности</w:t>
      </w:r>
      <w:r w:rsidR="004A2908">
        <w:t xml:space="preserve">, пространственном распределении </w:t>
      </w:r>
      <w:r w:rsidR="008012A2">
        <w:t>и др</w:t>
      </w:r>
      <w:r w:rsidR="00B636CA">
        <w:t>.</w:t>
      </w:r>
    </w:p>
    <w:p w14:paraId="029420F6" w14:textId="05E174CF" w:rsidR="008012A2" w:rsidRDefault="0020548A" w:rsidP="00C94DA0">
      <w:pPr>
        <w:spacing w:before="120" w:after="120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Вышеуказанные</w:t>
      </w:r>
      <w:r w:rsidR="008012A2" w:rsidRPr="00C94DA0">
        <w:rPr>
          <w:rFonts w:ascii="Times New Roman" w:hAnsi="Times New Roman" w:cs="Times New Roman"/>
          <w:sz w:val="24"/>
        </w:rPr>
        <w:t xml:space="preserve"> неопределенности не дают возможности достоверно оценить радиационную обстановку </w:t>
      </w:r>
      <w:r w:rsidR="00857F8D" w:rsidRPr="00C94DA0">
        <w:rPr>
          <w:rFonts w:ascii="Times New Roman" w:hAnsi="Times New Roman" w:cs="Times New Roman"/>
          <w:sz w:val="24"/>
        </w:rPr>
        <w:t>вблизи ОЯН</w:t>
      </w:r>
      <w:r w:rsidR="008012A2" w:rsidRPr="00C94DA0">
        <w:rPr>
          <w:rFonts w:ascii="Times New Roman" w:hAnsi="Times New Roman" w:cs="Times New Roman"/>
          <w:sz w:val="24"/>
        </w:rPr>
        <w:t xml:space="preserve"> даже в расчетах с помощью современных аттестованных нейтронно-физич</w:t>
      </w:r>
      <w:r>
        <w:rPr>
          <w:rFonts w:ascii="Times New Roman" w:hAnsi="Times New Roman" w:cs="Times New Roman"/>
          <w:sz w:val="24"/>
        </w:rPr>
        <w:t xml:space="preserve">еских кодов. </w:t>
      </w:r>
      <w:r w:rsidR="00932193">
        <w:rPr>
          <w:rFonts w:ascii="Times New Roman" w:hAnsi="Times New Roman" w:cs="Times New Roman"/>
          <w:sz w:val="24"/>
        </w:rPr>
        <w:t>Эти</w:t>
      </w:r>
      <w:r w:rsidR="00932193" w:rsidRPr="00C94DA0">
        <w:rPr>
          <w:rFonts w:ascii="Times New Roman" w:hAnsi="Times New Roman" w:cs="Times New Roman"/>
          <w:sz w:val="24"/>
        </w:rPr>
        <w:t xml:space="preserve"> </w:t>
      </w:r>
      <w:r w:rsidR="008012A2" w:rsidRPr="00C94DA0">
        <w:rPr>
          <w:rFonts w:ascii="Times New Roman" w:hAnsi="Times New Roman" w:cs="Times New Roman"/>
          <w:sz w:val="24"/>
        </w:rPr>
        <w:t>обстоятельства привели к необходимости разработки расчетно-аналитического подхода</w:t>
      </w:r>
      <w:r w:rsidR="00811186">
        <w:rPr>
          <w:rFonts w:ascii="Times New Roman" w:hAnsi="Times New Roman" w:cs="Times New Roman"/>
          <w:sz w:val="24"/>
        </w:rPr>
        <w:t>,</w:t>
      </w:r>
      <w:r w:rsidR="00932193">
        <w:rPr>
          <w:rFonts w:ascii="Times New Roman" w:hAnsi="Times New Roman" w:cs="Times New Roman"/>
          <w:sz w:val="24"/>
        </w:rPr>
        <w:t xml:space="preserve"> использующего решение обратной задачи.</w:t>
      </w:r>
      <w:r w:rsidR="008012A2" w:rsidRPr="00C94DA0">
        <w:rPr>
          <w:rFonts w:ascii="Times New Roman" w:hAnsi="Times New Roman" w:cs="Times New Roman"/>
          <w:sz w:val="24"/>
        </w:rPr>
        <w:t xml:space="preserve"> </w:t>
      </w:r>
      <w:r w:rsidR="00651021">
        <w:rPr>
          <w:rFonts w:ascii="Times New Roman" w:hAnsi="Times New Roman" w:cs="Times New Roman"/>
          <w:sz w:val="24"/>
        </w:rPr>
        <w:t>С</w:t>
      </w:r>
      <w:r w:rsidR="008012A2" w:rsidRPr="00C94DA0">
        <w:rPr>
          <w:rFonts w:ascii="Times New Roman" w:hAnsi="Times New Roman" w:cs="Times New Roman"/>
          <w:sz w:val="24"/>
        </w:rPr>
        <w:t xml:space="preserve">уть </w:t>
      </w:r>
      <w:r w:rsidR="00651021">
        <w:rPr>
          <w:rFonts w:ascii="Times New Roman" w:hAnsi="Times New Roman" w:cs="Times New Roman"/>
          <w:sz w:val="24"/>
        </w:rPr>
        <w:t xml:space="preserve">подхода </w:t>
      </w:r>
      <w:r w:rsidR="008012A2" w:rsidRPr="00C94DA0">
        <w:rPr>
          <w:rFonts w:ascii="Times New Roman" w:hAnsi="Times New Roman" w:cs="Times New Roman"/>
          <w:sz w:val="24"/>
        </w:rPr>
        <w:t xml:space="preserve">заключается в </w:t>
      </w:r>
      <w:r w:rsidR="00651021">
        <w:rPr>
          <w:rFonts w:ascii="Times New Roman" w:hAnsi="Times New Roman" w:cs="Times New Roman"/>
          <w:sz w:val="24"/>
        </w:rPr>
        <w:t xml:space="preserve">оценке </w:t>
      </w:r>
      <w:r w:rsidR="00651021" w:rsidRPr="00C94DA0">
        <w:rPr>
          <w:rFonts w:ascii="Times New Roman" w:hAnsi="Times New Roman" w:cs="Times New Roman"/>
          <w:sz w:val="24"/>
        </w:rPr>
        <w:t>активности источников исследуемого объекта</w:t>
      </w:r>
      <w:r w:rsidR="00651021">
        <w:rPr>
          <w:rFonts w:ascii="Times New Roman" w:hAnsi="Times New Roman" w:cs="Times New Roman"/>
          <w:sz w:val="24"/>
        </w:rPr>
        <w:t xml:space="preserve"> </w:t>
      </w:r>
      <w:r w:rsidR="00651021" w:rsidRPr="00C94DA0">
        <w:rPr>
          <w:rFonts w:ascii="Times New Roman" w:hAnsi="Times New Roman" w:cs="Times New Roman"/>
          <w:sz w:val="24"/>
        </w:rPr>
        <w:t xml:space="preserve">по заданным в определенных регистрационных зонах значениям </w:t>
      </w:r>
      <w:r w:rsidR="00651021">
        <w:rPr>
          <w:rFonts w:ascii="Times New Roman" w:hAnsi="Times New Roman" w:cs="Times New Roman"/>
          <w:sz w:val="24"/>
        </w:rPr>
        <w:t>мощности эквивалентной дозы (</w:t>
      </w:r>
      <w:r w:rsidR="00651021" w:rsidRPr="00C94DA0">
        <w:rPr>
          <w:rFonts w:ascii="Times New Roman" w:hAnsi="Times New Roman" w:cs="Times New Roman"/>
          <w:sz w:val="24"/>
        </w:rPr>
        <w:t>МЭД</w:t>
      </w:r>
      <w:r w:rsidR="00651021">
        <w:rPr>
          <w:rFonts w:ascii="Times New Roman" w:hAnsi="Times New Roman" w:cs="Times New Roman"/>
          <w:sz w:val="24"/>
        </w:rPr>
        <w:t xml:space="preserve">). </w:t>
      </w:r>
      <w:r w:rsidR="00811186">
        <w:rPr>
          <w:rFonts w:ascii="Times New Roman" w:hAnsi="Times New Roman" w:cs="Times New Roman"/>
          <w:sz w:val="24"/>
        </w:rPr>
        <w:t>Полученные значения</w:t>
      </w:r>
      <w:r w:rsidR="00651021" w:rsidRPr="00C94DA0">
        <w:rPr>
          <w:rFonts w:ascii="Times New Roman" w:hAnsi="Times New Roman" w:cs="Times New Roman"/>
          <w:sz w:val="24"/>
        </w:rPr>
        <w:t xml:space="preserve"> активностей </w:t>
      </w:r>
      <w:r w:rsidR="00811186">
        <w:rPr>
          <w:rFonts w:ascii="Times New Roman" w:hAnsi="Times New Roman" w:cs="Times New Roman"/>
          <w:sz w:val="24"/>
        </w:rPr>
        <w:t xml:space="preserve">используются для </w:t>
      </w:r>
      <w:r w:rsidR="00102586">
        <w:rPr>
          <w:rFonts w:ascii="Times New Roman" w:hAnsi="Times New Roman" w:cs="Times New Roman"/>
          <w:sz w:val="24"/>
        </w:rPr>
        <w:t>восстановления</w:t>
      </w:r>
      <w:r w:rsidR="00811186">
        <w:rPr>
          <w:rFonts w:ascii="Times New Roman" w:hAnsi="Times New Roman" w:cs="Times New Roman"/>
          <w:sz w:val="24"/>
        </w:rPr>
        <w:t xml:space="preserve"> пространственных распределений</w:t>
      </w:r>
      <w:r w:rsidR="00651021" w:rsidRPr="00C94DA0">
        <w:rPr>
          <w:rFonts w:ascii="Times New Roman" w:hAnsi="Times New Roman" w:cs="Times New Roman"/>
          <w:sz w:val="24"/>
        </w:rPr>
        <w:t xml:space="preserve"> МЭД вблизи ОЯН.</w:t>
      </w:r>
      <w:r w:rsidR="00857F8D" w:rsidRPr="00C94DA0">
        <w:rPr>
          <w:rFonts w:ascii="Times New Roman" w:hAnsi="Times New Roman" w:cs="Times New Roman"/>
          <w:sz w:val="24"/>
        </w:rPr>
        <w:t xml:space="preserve"> </w:t>
      </w:r>
      <w:r w:rsidR="00651021">
        <w:rPr>
          <w:rFonts w:ascii="Times New Roman" w:hAnsi="Times New Roman" w:cs="Times New Roman"/>
          <w:sz w:val="24"/>
        </w:rPr>
        <w:t xml:space="preserve">Решение </w:t>
      </w:r>
      <w:r w:rsidR="00945FAE">
        <w:rPr>
          <w:rFonts w:ascii="Times New Roman" w:hAnsi="Times New Roman" w:cs="Times New Roman"/>
          <w:sz w:val="24"/>
        </w:rPr>
        <w:t>обратной задачи может выполняться</w:t>
      </w:r>
      <w:r w:rsidR="00651021">
        <w:rPr>
          <w:rFonts w:ascii="Times New Roman" w:hAnsi="Times New Roman" w:cs="Times New Roman"/>
          <w:sz w:val="24"/>
        </w:rPr>
        <w:t xml:space="preserve"> для различных вариантов </w:t>
      </w:r>
      <w:r w:rsidR="00811186">
        <w:rPr>
          <w:rFonts w:ascii="Times New Roman" w:hAnsi="Times New Roman" w:cs="Times New Roman"/>
          <w:sz w:val="24"/>
        </w:rPr>
        <w:t xml:space="preserve">наборов </w:t>
      </w:r>
      <w:r w:rsidR="00651021">
        <w:rPr>
          <w:rFonts w:ascii="Times New Roman" w:hAnsi="Times New Roman" w:cs="Times New Roman"/>
          <w:sz w:val="24"/>
        </w:rPr>
        <w:t>регистрационных зон, что позволяет</w:t>
      </w:r>
      <w:r w:rsidR="00811186">
        <w:rPr>
          <w:rFonts w:ascii="Times New Roman" w:hAnsi="Times New Roman" w:cs="Times New Roman"/>
          <w:sz w:val="24"/>
        </w:rPr>
        <w:t xml:space="preserve"> проводить </w:t>
      </w:r>
      <w:r w:rsidR="00945FAE">
        <w:rPr>
          <w:rFonts w:ascii="Times New Roman" w:hAnsi="Times New Roman" w:cs="Times New Roman"/>
          <w:sz w:val="24"/>
        </w:rPr>
        <w:t>вариантные расчеты</w:t>
      </w:r>
      <w:r w:rsidR="00811186">
        <w:rPr>
          <w:rFonts w:ascii="Times New Roman" w:hAnsi="Times New Roman" w:cs="Times New Roman"/>
          <w:sz w:val="24"/>
        </w:rPr>
        <w:t xml:space="preserve"> и</w:t>
      </w:r>
      <w:r w:rsidR="00651021">
        <w:rPr>
          <w:rFonts w:ascii="Times New Roman" w:hAnsi="Times New Roman" w:cs="Times New Roman"/>
          <w:sz w:val="24"/>
        </w:rPr>
        <w:t xml:space="preserve"> </w:t>
      </w:r>
      <w:r w:rsidR="008012A2" w:rsidRPr="00C94DA0">
        <w:rPr>
          <w:rFonts w:ascii="Times New Roman" w:hAnsi="Times New Roman" w:cs="Times New Roman"/>
          <w:sz w:val="24"/>
        </w:rPr>
        <w:t>выбира</w:t>
      </w:r>
      <w:r w:rsidR="00651021">
        <w:rPr>
          <w:rFonts w:ascii="Times New Roman" w:hAnsi="Times New Roman" w:cs="Times New Roman"/>
          <w:sz w:val="24"/>
        </w:rPr>
        <w:t>ть</w:t>
      </w:r>
      <w:r w:rsidR="00C94DA0" w:rsidRPr="00C94DA0">
        <w:rPr>
          <w:rFonts w:ascii="Times New Roman" w:hAnsi="Times New Roman" w:cs="Times New Roman"/>
          <w:sz w:val="24"/>
        </w:rPr>
        <w:t xml:space="preserve"> наиболее «удачные» наборы</w:t>
      </w:r>
      <w:r w:rsidR="00945FAE">
        <w:rPr>
          <w:rFonts w:ascii="Times New Roman" w:hAnsi="Times New Roman" w:cs="Times New Roman"/>
          <w:sz w:val="24"/>
        </w:rPr>
        <w:t xml:space="preserve"> зон</w:t>
      </w:r>
      <w:r w:rsidR="008012A2" w:rsidRPr="00C94DA0">
        <w:rPr>
          <w:rFonts w:ascii="Times New Roman" w:hAnsi="Times New Roman" w:cs="Times New Roman"/>
          <w:sz w:val="24"/>
        </w:rPr>
        <w:t>, приводящие к ожидаемым расп</w:t>
      </w:r>
      <w:r w:rsidR="00C94DA0" w:rsidRPr="00C94DA0">
        <w:rPr>
          <w:rFonts w:ascii="Times New Roman" w:hAnsi="Times New Roman" w:cs="Times New Roman"/>
          <w:sz w:val="24"/>
        </w:rPr>
        <w:t>ределениям МЭД. Эти наборы зон</w:t>
      </w:r>
      <w:r w:rsidR="008012A2" w:rsidRPr="00C94DA0">
        <w:rPr>
          <w:rFonts w:ascii="Times New Roman" w:hAnsi="Times New Roman" w:cs="Times New Roman"/>
          <w:sz w:val="24"/>
        </w:rPr>
        <w:t xml:space="preserve"> могу</w:t>
      </w:r>
      <w:r w:rsidR="00C94DA0" w:rsidRPr="00C94DA0">
        <w:rPr>
          <w:rFonts w:ascii="Times New Roman" w:hAnsi="Times New Roman" w:cs="Times New Roman"/>
          <w:sz w:val="24"/>
        </w:rPr>
        <w:t>т рекомендоваться</w:t>
      </w:r>
      <w:r w:rsidR="008012A2" w:rsidRPr="00C94DA0">
        <w:rPr>
          <w:rFonts w:ascii="Times New Roman" w:hAnsi="Times New Roman" w:cs="Times New Roman"/>
          <w:sz w:val="24"/>
        </w:rPr>
        <w:t xml:space="preserve"> для дозиметрических и</w:t>
      </w:r>
      <w:r w:rsidR="00857F8D" w:rsidRPr="00C94DA0">
        <w:rPr>
          <w:rFonts w:ascii="Times New Roman" w:hAnsi="Times New Roman" w:cs="Times New Roman"/>
          <w:sz w:val="24"/>
        </w:rPr>
        <w:t>змерений при проведении КИРО ОЯН</w:t>
      </w:r>
      <w:r w:rsidR="008012A2" w:rsidRPr="00C94DA0">
        <w:rPr>
          <w:rFonts w:ascii="Times New Roman" w:hAnsi="Times New Roman" w:cs="Times New Roman"/>
          <w:sz w:val="24"/>
        </w:rPr>
        <w:t xml:space="preserve">. </w:t>
      </w:r>
    </w:p>
    <w:p w14:paraId="07C12874" w14:textId="77777777" w:rsidR="00C94DA0" w:rsidRPr="00C94DA0" w:rsidRDefault="00C94DA0" w:rsidP="00C94DA0">
      <w:pPr>
        <w:spacing w:before="120" w:after="120"/>
        <w:ind w:firstLine="680"/>
        <w:jc w:val="both"/>
        <w:rPr>
          <w:rFonts w:ascii="Times New Roman" w:hAnsi="Times New Roman" w:cs="Times New Roman"/>
          <w:b/>
          <w:sz w:val="24"/>
        </w:rPr>
      </w:pPr>
      <w:r w:rsidRPr="00C94DA0">
        <w:rPr>
          <w:rFonts w:ascii="Times New Roman" w:hAnsi="Times New Roman" w:cs="Times New Roman"/>
          <w:b/>
          <w:sz w:val="24"/>
        </w:rPr>
        <w:t>Описание подхода</w:t>
      </w:r>
    </w:p>
    <w:p w14:paraId="1839AEA1" w14:textId="43BFBD63" w:rsidR="008012A2" w:rsidRDefault="00433315" w:rsidP="00C94DA0">
      <w:pPr>
        <w:pStyle w:val="aff"/>
        <w:spacing w:line="276" w:lineRule="auto"/>
        <w:ind w:firstLine="680"/>
      </w:pPr>
      <w:r>
        <w:t>Схематичное изображение предлагаемого</w:t>
      </w:r>
      <w:r w:rsidR="008012A2">
        <w:t xml:space="preserve"> подход</w:t>
      </w:r>
      <w:r>
        <w:t>а представлено на рисунке 1. Подход</w:t>
      </w:r>
      <w:r w:rsidR="008012A2">
        <w:t xml:space="preserve"> основывается на совместных расчетах по нейтронно-физическому коду и коду для оценки неопределенности. </w:t>
      </w:r>
    </w:p>
    <w:p w14:paraId="77ED21B4" w14:textId="25F08370" w:rsidR="002529DB" w:rsidRDefault="00433315" w:rsidP="00264202">
      <w:pPr>
        <w:pStyle w:val="aff"/>
        <w:spacing w:line="276" w:lineRule="auto"/>
        <w:ind w:firstLine="680"/>
      </w:pPr>
      <w:r>
        <w:t xml:space="preserve">На первом тапе </w:t>
      </w:r>
      <w:r>
        <w:t>выполняются</w:t>
      </w:r>
      <w:r>
        <w:t xml:space="preserve"> н</w:t>
      </w:r>
      <w:r w:rsidR="002529DB">
        <w:t>ейтронно-физические расчеты с помощью расчетно-прогностического кода (РПК) КОРИДА [</w:t>
      </w:r>
      <w:r w:rsidR="00C94DA0">
        <w:t>2</w:t>
      </w:r>
      <w:r w:rsidR="002529DB">
        <w:t xml:space="preserve">], предназначенного для решения </w:t>
      </w:r>
      <w:proofErr w:type="gramStart"/>
      <w:r w:rsidR="002529DB">
        <w:t>задач обоснования радиационной безопасности объектов ядерного наследия</w:t>
      </w:r>
      <w:proofErr w:type="gramEnd"/>
      <w:r w:rsidR="002529DB">
        <w:t xml:space="preserve"> и пунктов захоронения РАО.</w:t>
      </w:r>
      <w:r w:rsidR="00264202">
        <w:t xml:space="preserve"> Р</w:t>
      </w:r>
      <w:r w:rsidR="00BF7077">
        <w:t xml:space="preserve">асчеты </w:t>
      </w:r>
      <w:r w:rsidR="00264202">
        <w:t xml:space="preserve">проводятся </w:t>
      </w:r>
      <w:r w:rsidR="00BF7077">
        <w:t>с помощью Монте-Карло модуля TDMCC</w:t>
      </w:r>
      <w:r w:rsidR="009A04FF">
        <w:t xml:space="preserve"> [</w:t>
      </w:r>
      <w:r w:rsidR="009A04FF" w:rsidRPr="009A04FF">
        <w:t>3</w:t>
      </w:r>
      <w:r w:rsidR="009A04FF">
        <w:t>]</w:t>
      </w:r>
      <w:r w:rsidR="00264202">
        <w:t>, в результате которых</w:t>
      </w:r>
      <w:r w:rsidR="002529DB">
        <w:t xml:space="preserve"> определяются:</w:t>
      </w:r>
    </w:p>
    <w:p w14:paraId="5F32F56E" w14:textId="77777777" w:rsidR="002529DB" w:rsidRDefault="002529DB" w:rsidP="00C94DA0">
      <w:pPr>
        <w:pStyle w:val="1"/>
        <w:numPr>
          <w:ilvl w:val="0"/>
          <w:numId w:val="4"/>
        </w:numPr>
        <w:spacing w:before="120" w:after="120" w:line="276" w:lineRule="auto"/>
        <w:ind w:left="0" w:firstLine="680"/>
      </w:pPr>
      <w:r>
        <w:lastRenderedPageBreak/>
        <w:t xml:space="preserve"> пространственные распределения МЭД на единичную активность (</w:t>
      </w:r>
      <w:r>
        <w:rPr>
          <w:i/>
        </w:rPr>
        <w:t>МЭД/ 1 Бк</w:t>
      </w:r>
      <w:r>
        <w:t>) от каждого источник</w:t>
      </w:r>
      <w:r w:rsidR="0020548A">
        <w:t>а ионизирующего излучения ВЭ ОЯН</w:t>
      </w:r>
      <w:r>
        <w:t>;</w:t>
      </w:r>
    </w:p>
    <w:p w14:paraId="40FE68EF" w14:textId="77777777" w:rsidR="002529DB" w:rsidRDefault="002529DB" w:rsidP="00C94DA0">
      <w:pPr>
        <w:pStyle w:val="1"/>
        <w:numPr>
          <w:ilvl w:val="0"/>
          <w:numId w:val="4"/>
        </w:numPr>
        <w:spacing w:before="120" w:after="120" w:line="276" w:lineRule="auto"/>
        <w:ind w:left="0" w:firstLine="680"/>
      </w:pPr>
      <w:r>
        <w:t>пространственные распределения МЭД, полученные в результате решения прямой задачи с использованием имеющихся данных КИРО для РОО (</w:t>
      </w:r>
      <w:r>
        <w:rPr>
          <w:i/>
        </w:rPr>
        <w:t>МЭД</w:t>
      </w:r>
      <w:r>
        <w:rPr>
          <w:i/>
          <w:vertAlign w:val="subscript"/>
        </w:rPr>
        <w:t>КИРО</w:t>
      </w:r>
      <w:r>
        <w:t>) или с использованием заданных значений полных активностей источников излучения.</w:t>
      </w:r>
    </w:p>
    <w:p w14:paraId="637DD5C9" w14:textId="77777777" w:rsidR="00433315" w:rsidRDefault="0020548A" w:rsidP="00C94DA0">
      <w:pPr>
        <w:pStyle w:val="aff"/>
        <w:spacing w:line="276" w:lineRule="auto"/>
        <w:ind w:firstLine="680"/>
      </w:pPr>
      <w:r>
        <w:t xml:space="preserve">Далее выбираются различные наборы регистрационных зон вблизи исследуемого ОЯН и им присваиваются полученные для этих зон значения </w:t>
      </w:r>
      <w:r>
        <w:rPr>
          <w:i/>
        </w:rPr>
        <w:t>МЭД/ 1 Бк</w:t>
      </w:r>
      <w:r>
        <w:t xml:space="preserve"> и </w:t>
      </w:r>
      <w:r>
        <w:rPr>
          <w:i/>
        </w:rPr>
        <w:t>МЭД</w:t>
      </w:r>
      <w:r>
        <w:rPr>
          <w:i/>
          <w:vertAlign w:val="subscript"/>
        </w:rPr>
        <w:t>КИРО</w:t>
      </w:r>
      <w:r>
        <w:t xml:space="preserve">. </w:t>
      </w:r>
      <w:r w:rsidR="00433315">
        <w:t xml:space="preserve">Выбор зон не маловажен, </w:t>
      </w:r>
      <w:r w:rsidR="00433315">
        <w:t xml:space="preserve">поскольку необходимо учесть реальные возможности персонала, выполняющего КИРО, и охватить как можно больше вариантов </w:t>
      </w:r>
      <w:r w:rsidR="00433315" w:rsidRPr="00EC1103">
        <w:t>расположения зон.</w:t>
      </w:r>
      <w:r w:rsidR="00433315">
        <w:t xml:space="preserve"> </w:t>
      </w:r>
    </w:p>
    <w:p w14:paraId="7B0C68D8" w14:textId="4DFCACAC" w:rsidR="002529DB" w:rsidRDefault="00433315" w:rsidP="00C94DA0">
      <w:pPr>
        <w:pStyle w:val="aff"/>
        <w:spacing w:line="276" w:lineRule="auto"/>
        <w:ind w:firstLine="680"/>
      </w:pPr>
      <w:r>
        <w:t>Н</w:t>
      </w:r>
      <w:r w:rsidR="00964915">
        <w:t>а</w:t>
      </w:r>
      <w:r>
        <w:t xml:space="preserve"> втором этапе на</w:t>
      </w:r>
      <w:r w:rsidR="00964915">
        <w:t>боры значений</w:t>
      </w:r>
      <w:r w:rsidR="002529DB">
        <w:t xml:space="preserve"> </w:t>
      </w:r>
      <w:r w:rsidR="002529DB">
        <w:rPr>
          <w:i/>
        </w:rPr>
        <w:t>МЭД/ 1 Бк</w:t>
      </w:r>
      <w:r w:rsidR="002529DB">
        <w:t xml:space="preserve"> и </w:t>
      </w:r>
      <w:r w:rsidR="002529DB">
        <w:rPr>
          <w:i/>
        </w:rPr>
        <w:t>МЭД</w:t>
      </w:r>
      <w:r w:rsidR="002529DB">
        <w:rPr>
          <w:i/>
          <w:vertAlign w:val="subscript"/>
        </w:rPr>
        <w:t>КИРО</w:t>
      </w:r>
      <w:r w:rsidR="002529DB">
        <w:t xml:space="preserve"> служат исходными данными для РПК MOUSE [</w:t>
      </w:r>
      <w:r w:rsidR="009A04FF" w:rsidRPr="009A04FF">
        <w:t>4</w:t>
      </w:r>
      <w:r w:rsidR="002529DB">
        <w:t>], позволяющего с помощью метода эвристической оптимизации [</w:t>
      </w:r>
      <w:r w:rsidR="009A04FF" w:rsidRPr="009A04FF">
        <w:t>5</w:t>
      </w:r>
      <w:r w:rsidR="002529DB">
        <w:t xml:space="preserve">], решить обратную задачу и оценить активности источников излучения </w:t>
      </w:r>
      <w:r w:rsidR="00960A06">
        <w:t>ОЯН</w:t>
      </w:r>
      <w:r w:rsidR="00964915">
        <w:t xml:space="preserve"> для каждого варианта задания регистрационных</w:t>
      </w:r>
      <w:r w:rsidR="00C66EBF" w:rsidRPr="00433315">
        <w:t xml:space="preserve"> </w:t>
      </w:r>
      <w:r w:rsidR="00C66EBF">
        <w:t>зон</w:t>
      </w:r>
      <w:r w:rsidR="002529DB">
        <w:t xml:space="preserve">. </w:t>
      </w:r>
      <w:r w:rsidR="00964915">
        <w:t>Таким образом, проводятся вариантные совместные</w:t>
      </w:r>
      <w:r w:rsidR="002529DB">
        <w:t xml:space="preserve"> р</w:t>
      </w:r>
      <w:r w:rsidR="00964915">
        <w:t>асчеты</w:t>
      </w:r>
      <w:r w:rsidR="002529DB">
        <w:t xml:space="preserve">, путем варьирования расположения и количества зон регистраций. </w:t>
      </w:r>
    </w:p>
    <w:p w14:paraId="261F2660" w14:textId="0A78EBBE" w:rsidR="002529DB" w:rsidRDefault="00433315" w:rsidP="00C94DA0">
      <w:pPr>
        <w:pStyle w:val="aff"/>
        <w:spacing w:line="276" w:lineRule="auto"/>
        <w:ind w:firstLine="680"/>
      </w:pPr>
      <w:r>
        <w:t>На третьем этапе а</w:t>
      </w:r>
      <w:r w:rsidR="002529DB">
        <w:t>ктивности источников для различных наборов зон регистраций, полученные в результате вышеописанных совместных расчетов, в свою очередь применяются для вычисления распределений МЭД от каждого источника. Их сумма дает р</w:t>
      </w:r>
      <w:r w:rsidR="00960A06">
        <w:t>аспределение полноценной</w:t>
      </w:r>
      <w:r w:rsidR="00964915">
        <w:t xml:space="preserve"> МЭД</w:t>
      </w:r>
      <w:r w:rsidR="002529DB">
        <w:t>. Качественное</w:t>
      </w:r>
      <w:r w:rsidR="00964915">
        <w:t xml:space="preserve"> и количественное сравнения</w:t>
      </w:r>
      <w:r w:rsidR="002529DB">
        <w:t xml:space="preserve"> распред</w:t>
      </w:r>
      <w:r w:rsidR="00964915">
        <w:t>елений, полученных таким способом</w:t>
      </w:r>
      <w:r w:rsidR="002529DB">
        <w:t xml:space="preserve">, с распределением </w:t>
      </w:r>
      <w:r w:rsidR="002529DB">
        <w:rPr>
          <w:i/>
        </w:rPr>
        <w:t>МЭД</w:t>
      </w:r>
      <w:r w:rsidR="002529DB">
        <w:rPr>
          <w:i/>
          <w:vertAlign w:val="subscript"/>
        </w:rPr>
        <w:t>КИРО</w:t>
      </w:r>
      <w:r w:rsidR="002529DB">
        <w:t xml:space="preserve"> позволяет выбрать оптимальные зоны, по значениям МЭД в которых возможно достоверно восстано</w:t>
      </w:r>
      <w:r w:rsidR="00960A06">
        <w:t xml:space="preserve">вить радиационные поля вблизи </w:t>
      </w:r>
      <w:r w:rsidR="002529DB">
        <w:t>О</w:t>
      </w:r>
      <w:r w:rsidR="00960A06">
        <w:t>ЯН</w:t>
      </w:r>
      <w:r w:rsidR="002529DB">
        <w:t>.</w:t>
      </w:r>
    </w:p>
    <w:p w14:paraId="140FE6C0" w14:textId="00AA4E27" w:rsidR="002529DB" w:rsidRDefault="00651021" w:rsidP="00C94DA0">
      <w:pPr>
        <w:pStyle w:val="aff"/>
        <w:spacing w:line="276" w:lineRule="auto"/>
        <w:ind w:firstLine="680"/>
      </w:pPr>
      <w:r>
        <w:t>О</w:t>
      </w:r>
      <w:r w:rsidR="002529DB">
        <w:t>птимальные варианты задания зон регистраций (их количество и расположение) могут рекомендоваться в качестве точек измерения МЭД при проведении КИРО</w:t>
      </w:r>
      <w:r>
        <w:t xml:space="preserve"> на аналогичных объектах</w:t>
      </w:r>
      <w:r w:rsidR="002529DB">
        <w:t>.</w:t>
      </w:r>
    </w:p>
    <w:p w14:paraId="3BD8860A" w14:textId="77777777" w:rsidR="002529DB" w:rsidRDefault="002529DB" w:rsidP="002529DB">
      <w:pPr>
        <w:pStyle w:val="aff1"/>
      </w:pPr>
      <w:r>
        <w:object w:dxaOrig="9345" w:dyaOrig="1680" w14:anchorId="4ED97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4pt" o:ole="">
            <v:imagedata r:id="rId7" o:title=""/>
          </v:shape>
          <o:OLEObject Type="Embed" ProgID="Visio.Drawing.11" ShapeID="_x0000_i1025" DrawAspect="Content" ObjectID="_1694606451" r:id="rId8"/>
        </w:object>
      </w:r>
    </w:p>
    <w:p w14:paraId="7C9B07D8" w14:textId="77777777" w:rsidR="002529DB" w:rsidRPr="00C94DA0" w:rsidRDefault="002529DB" w:rsidP="002529DB">
      <w:pPr>
        <w:pStyle w:val="aff2"/>
        <w:rPr>
          <w:i/>
        </w:rPr>
      </w:pPr>
      <w:r w:rsidRPr="00C94DA0">
        <w:rPr>
          <w:i/>
        </w:rPr>
        <w:t>Рисунок 1 – Схематичное изображение подхода формирования рекомендаций по проведению КИРО.</w:t>
      </w:r>
    </w:p>
    <w:p w14:paraId="6288DDFB" w14:textId="77777777" w:rsidR="002529DB" w:rsidRPr="00B95792" w:rsidRDefault="002529DB" w:rsidP="00C94DA0">
      <w:pPr>
        <w:pStyle w:val="affe"/>
        <w:spacing w:line="276" w:lineRule="auto"/>
        <w:ind w:firstLine="680"/>
        <w:rPr>
          <w:rFonts w:ascii="Times New Roman" w:hAnsi="Times New Roman" w:cs="Times New Roman"/>
          <w:b/>
          <w:i w:val="0"/>
        </w:rPr>
      </w:pPr>
      <w:r w:rsidRPr="00B95792">
        <w:rPr>
          <w:rFonts w:ascii="Times New Roman" w:hAnsi="Times New Roman" w:cs="Times New Roman"/>
          <w:b/>
          <w:i w:val="0"/>
        </w:rPr>
        <w:t>Формирование рекомендаций по проведению КИРО на пример</w:t>
      </w:r>
      <w:r w:rsidR="00B95792" w:rsidRPr="00B95792">
        <w:rPr>
          <w:rFonts w:ascii="Times New Roman" w:hAnsi="Times New Roman" w:cs="Times New Roman"/>
          <w:b/>
          <w:i w:val="0"/>
        </w:rPr>
        <w:t>е аппарата химической технологии</w:t>
      </w:r>
    </w:p>
    <w:p w14:paraId="37B8D168" w14:textId="77777777" w:rsidR="00F04C4B" w:rsidRPr="0012259E" w:rsidRDefault="00F04C4B" w:rsidP="00C94DA0">
      <w:pPr>
        <w:pStyle w:val="aff"/>
        <w:spacing w:line="276" w:lineRule="auto"/>
        <w:ind w:firstLine="680"/>
      </w:pPr>
      <w:r>
        <w:t>Подход формирования рекомендаций по проведению КИРО отрабатывался</w:t>
      </w:r>
      <w:r w:rsidR="004438FC">
        <w:t xml:space="preserve"> на практической задаче</w:t>
      </w:r>
      <w:r w:rsidR="00AF6C15">
        <w:t xml:space="preserve"> по</w:t>
      </w:r>
      <w:r>
        <w:t xml:space="preserve"> ВЭ</w:t>
      </w:r>
      <w:r w:rsidR="00AF6C15">
        <w:t xml:space="preserve"> а</w:t>
      </w:r>
      <w:r>
        <w:t>ппарат</w:t>
      </w:r>
      <w:r w:rsidR="00AF6C15">
        <w:t>а</w:t>
      </w:r>
      <w:r>
        <w:t xml:space="preserve"> химической технологии в закрытом каньоне </w:t>
      </w:r>
      <w:r w:rsidR="007D08C2">
        <w:t xml:space="preserve">площадки № 3 </w:t>
      </w:r>
      <w:r>
        <w:t xml:space="preserve">АО «СХК» </w:t>
      </w:r>
      <w:r w:rsidRPr="00556D27">
        <w:t>[</w:t>
      </w:r>
      <w:r w:rsidR="009A04FF" w:rsidRPr="009A04FF">
        <w:t>6</w:t>
      </w:r>
      <w:r w:rsidRPr="00556D27">
        <w:t>]</w:t>
      </w:r>
      <w:r>
        <w:t>.</w:t>
      </w:r>
    </w:p>
    <w:p w14:paraId="484659D9" w14:textId="77777777" w:rsidR="00F04C4B" w:rsidRDefault="00B95792" w:rsidP="00C94DA0">
      <w:pPr>
        <w:pStyle w:val="af5"/>
        <w:spacing w:line="276" w:lineRule="auto"/>
        <w:ind w:firstLine="680"/>
      </w:pPr>
      <w:r>
        <w:t xml:space="preserve">На первом этапе </w:t>
      </w:r>
      <w:r w:rsidR="00580D27">
        <w:t xml:space="preserve">была </w:t>
      </w:r>
      <w:r>
        <w:t>разработана модель аппарата и проведены нейтронно-физические расчеты с ее использованием.</w:t>
      </w:r>
    </w:p>
    <w:p w14:paraId="4DF1B638" w14:textId="77777777" w:rsidR="00B95792" w:rsidRPr="00B95792" w:rsidRDefault="00B95792" w:rsidP="00C94DA0">
      <w:pPr>
        <w:pStyle w:val="af5"/>
        <w:spacing w:line="276" w:lineRule="auto"/>
        <w:ind w:firstLine="680"/>
        <w:rPr>
          <w:i/>
        </w:rPr>
      </w:pPr>
      <w:r w:rsidRPr="00B95792">
        <w:rPr>
          <w:i/>
        </w:rPr>
        <w:t>Расчетная модель аппарата</w:t>
      </w:r>
    </w:p>
    <w:p w14:paraId="4CE85AC2" w14:textId="77777777" w:rsidR="00F04C4B" w:rsidRDefault="00F04C4B" w:rsidP="00C94DA0">
      <w:pPr>
        <w:pStyle w:val="aff"/>
        <w:spacing w:line="276" w:lineRule="auto"/>
        <w:ind w:firstLine="680"/>
      </w:pPr>
      <w:r>
        <w:lastRenderedPageBreak/>
        <w:t>Аппарат представляет собой сварной вертикальный стальной сосуд</w:t>
      </w:r>
      <w:r w:rsidRPr="00850026">
        <w:t xml:space="preserve"> </w:t>
      </w:r>
      <w:r>
        <w:t>цилиндрической формы с приваренными верхней эллипсоидной крышкой и нижним эллипсоидным днищем. Габаритные размеры: диаметр 242,8 см, высота 379,6 см. Аппарат установлен на дне цилиндрического бетонного каньона (на высоте 30 см, трубные обвязки и опоры в модель не входят) с внутренним диаметром 350 см и высотой 480 см. Дно и стены каньона облицованы стальными листами толщиной 0,3 см. Верхнее бетонное перекрытие каньона имеет толщину 95 см.</w:t>
      </w:r>
    </w:p>
    <w:p w14:paraId="08EEAB35" w14:textId="77777777" w:rsidR="00F04C4B" w:rsidRDefault="00F04C4B" w:rsidP="00C94DA0">
      <w:pPr>
        <w:pStyle w:val="aff"/>
        <w:spacing w:line="276" w:lineRule="auto"/>
        <w:ind w:firstLine="680"/>
      </w:pPr>
      <w:r>
        <w:t>Модель аппарата, окруженного со всех сторон цилиндрическими бетонными стенами, представлена в виде цилиндра в центральной части и двух эллипсоидов, имитирующих днище снизу и крышку сверху. Схематичное изображение аппарата в закрытом каньоне представлено на рисунке</w:t>
      </w:r>
      <w:r w:rsidR="00EB2F9D">
        <w:t xml:space="preserve"> 2</w:t>
      </w:r>
      <w:r>
        <w:t>.</w:t>
      </w:r>
    </w:p>
    <w:p w14:paraId="472AC4DA" w14:textId="77777777" w:rsidR="00F04C4B" w:rsidRDefault="00F04C4B" w:rsidP="00F04C4B">
      <w:pPr>
        <w:pStyle w:val="aff1"/>
      </w:pPr>
      <w:r>
        <w:object w:dxaOrig="7246" w:dyaOrig="6291" w14:anchorId="070A684D">
          <v:shape id="_x0000_i1026" type="#_x0000_t75" style="width:367.5pt;height:309.75pt" o:ole="">
            <v:imagedata r:id="rId9" o:title=""/>
          </v:shape>
          <o:OLEObject Type="Embed" ProgID="Visio.Drawing.11" ShapeID="_x0000_i1026" DrawAspect="Content" ObjectID="_1694606452" r:id="rId10"/>
        </w:object>
      </w:r>
    </w:p>
    <w:p w14:paraId="4ECECCAA" w14:textId="77777777" w:rsidR="00F04C4B" w:rsidRPr="00C94DA0" w:rsidRDefault="00F04C4B" w:rsidP="00F04C4B">
      <w:pPr>
        <w:pStyle w:val="aff2"/>
        <w:rPr>
          <w:i/>
        </w:rPr>
      </w:pPr>
      <w:r w:rsidRPr="00C94DA0">
        <w:rPr>
          <w:i/>
        </w:rPr>
        <w:t xml:space="preserve">Рисунок </w:t>
      </w:r>
      <w:r w:rsidR="00C94DA0" w:rsidRPr="00C94DA0">
        <w:rPr>
          <w:i/>
        </w:rPr>
        <w:t>2</w:t>
      </w:r>
      <w:r w:rsidRPr="00C94DA0">
        <w:rPr>
          <w:i/>
        </w:rPr>
        <w:t xml:space="preserve"> – Продольное сечение расчетной модели аппарата в бетонном каньоне; модели поверхностных цилиндрических и круговых источников излучения</w:t>
      </w:r>
    </w:p>
    <w:p w14:paraId="6E8E7E0E" w14:textId="77777777" w:rsidR="00D86740" w:rsidRPr="00D262D2" w:rsidRDefault="00D86740" w:rsidP="00D86740">
      <w:pPr>
        <w:pStyle w:val="aff"/>
        <w:spacing w:line="276" w:lineRule="auto"/>
        <w:ind w:firstLine="680"/>
      </w:pPr>
      <w:r>
        <w:t>Пространственные распределения источников гамма-излучения задавались, исходя из общих предположений, где могли образоваться радиоактивные «загрязнения» в процессе работы аппарата. Так, в качестве «загрязнения» поверхности аппарата выступали 6 источников: источники</w:t>
      </w:r>
      <w:proofErr w:type="gramStart"/>
      <w:r>
        <w:t xml:space="preserve"> И</w:t>
      </w:r>
      <w:proofErr w:type="gramEnd"/>
      <w:r>
        <w:t xml:space="preserve"> 1-3 – круговые или цилиндрические поверхности, имитирующие крышку, корпус и дно аппарата соответственно (синяя, красная и зеленая линии на рисунке 2); источники И 6-8 – цилиндрические поверхности внутри аппарата, имитирующие его внутренние поверхности крышки, корпуса и дна соответственно (пунктирные синие, красные и зеленые линии на рисунке 2). В качестве «загрязнения» дна и стен каньона выступали источник</w:t>
      </w:r>
      <w:proofErr w:type="gramStart"/>
      <w:r>
        <w:t xml:space="preserve"> И</w:t>
      </w:r>
      <w:proofErr w:type="gramEnd"/>
      <w:r>
        <w:t xml:space="preserve"> 4 – круговая поверхность над полом (фиолетовая линия на рисунке 2) и источник И 5 – цилиндрическая поверхность вблизи перекрытий (оранжевые линии на рисунке 2). Все </w:t>
      </w:r>
      <w:r>
        <w:lastRenderedPageBreak/>
        <w:t>8 источников излучения изотропные равномерно распределенные по соответствующим поверхностям. В</w:t>
      </w:r>
      <w:r w:rsidRPr="00D262D2">
        <w:t xml:space="preserve"> качестве основного гамма-</w:t>
      </w:r>
      <w:r>
        <w:t>излучающего радионуклида выбрали</w:t>
      </w:r>
      <w:r w:rsidRPr="00D262D2">
        <w:t xml:space="preserve"> цезий-137.</w:t>
      </w:r>
    </w:p>
    <w:p w14:paraId="6B86D94B" w14:textId="316314A4" w:rsidR="00D86740" w:rsidRDefault="00D86740" w:rsidP="00D86740">
      <w:pPr>
        <w:pStyle w:val="aff"/>
        <w:spacing w:line="276" w:lineRule="auto"/>
        <w:ind w:firstLine="680"/>
      </w:pPr>
      <w:r>
        <w:t>Для расчетных моделей с вышеописанными источниками гамма-излучений по РПК КОРИДА вычисл</w:t>
      </w:r>
      <w:r w:rsidR="00580D27">
        <w:t>ены</w:t>
      </w:r>
      <w:r>
        <w:t xml:space="preserve"> пространственные распределения </w:t>
      </w:r>
      <w:r w:rsidRPr="00326091">
        <w:rPr>
          <w:i/>
        </w:rPr>
        <w:t>МЭД/1 Бк</w:t>
      </w:r>
      <w:r>
        <w:t xml:space="preserve"> с использованием </w:t>
      </w:r>
      <w:proofErr w:type="gramStart"/>
      <w:r>
        <w:t>коэффициентов перевода плотности потока излучения</w:t>
      </w:r>
      <w:proofErr w:type="gramEnd"/>
      <w:r>
        <w:t xml:space="preserve"> в мощность эквивалентной дозы для кожи человека в соответствии с </w:t>
      </w:r>
      <w:r w:rsidRPr="00A7160B">
        <w:t>НРБ-99/2000</w:t>
      </w:r>
      <w:r w:rsidRPr="00F168ED">
        <w:t xml:space="preserve"> [</w:t>
      </w:r>
      <w:r w:rsidR="009A04FF" w:rsidRPr="009A04FF">
        <w:t>7</w:t>
      </w:r>
      <w:r w:rsidRPr="00F168ED">
        <w:t>]</w:t>
      </w:r>
      <w:r>
        <w:t>.</w:t>
      </w:r>
    </w:p>
    <w:p w14:paraId="2F4AF5FA" w14:textId="77777777" w:rsidR="009D668B" w:rsidRPr="009D668B" w:rsidRDefault="009D668B" w:rsidP="00E66EEC">
      <w:pPr>
        <w:pStyle w:val="aff"/>
        <w:spacing w:line="276" w:lineRule="auto"/>
        <w:ind w:firstLine="680"/>
        <w:rPr>
          <w:i/>
        </w:rPr>
      </w:pPr>
      <w:r w:rsidRPr="009D668B">
        <w:rPr>
          <w:i/>
        </w:rPr>
        <w:t>Выбор зон регистраций</w:t>
      </w:r>
    </w:p>
    <w:p w14:paraId="69CB48AA" w14:textId="411BA2A8" w:rsidR="0066412A" w:rsidRDefault="00F04C4B" w:rsidP="00E66EEC">
      <w:pPr>
        <w:pStyle w:val="aff"/>
        <w:spacing w:line="276" w:lineRule="auto"/>
        <w:ind w:firstLine="680"/>
      </w:pPr>
      <w:r>
        <w:t>С</w:t>
      </w:r>
      <w:r w:rsidR="00964915">
        <w:t>ледующим шагом был</w:t>
      </w:r>
      <w:r>
        <w:t xml:space="preserve"> выбор различных вариантов задания зон со значениями </w:t>
      </w:r>
      <w:r w:rsidRPr="00BB3889">
        <w:rPr>
          <w:i/>
        </w:rPr>
        <w:t>МЭД</w:t>
      </w:r>
      <w:r w:rsidRPr="00BB3889">
        <w:rPr>
          <w:i/>
          <w:vertAlign w:val="subscript"/>
        </w:rPr>
        <w:t>КИРО</w:t>
      </w:r>
      <w:r w:rsidR="0066412A">
        <w:t>.</w:t>
      </w:r>
    </w:p>
    <w:p w14:paraId="36AFA196" w14:textId="77777777" w:rsidR="00F04C4B" w:rsidRDefault="00CB0F02" w:rsidP="00E66EEC">
      <w:pPr>
        <w:pStyle w:val="aff"/>
        <w:spacing w:line="276" w:lineRule="auto"/>
        <w:ind w:firstLine="680"/>
      </w:pPr>
      <w:r>
        <w:t>Для исследования рассмотрели</w:t>
      </w:r>
      <w:r w:rsidR="009E2B0C">
        <w:t xml:space="preserve"> 9 вариантов задания зон</w:t>
      </w:r>
      <w:r>
        <w:t xml:space="preserve">. </w:t>
      </w:r>
      <w:r w:rsidR="00F04C4B">
        <w:t xml:space="preserve">Для варианта № 1 значения МЭД задавались в 11 зонах, находящихся вблизи поверхности аппарата и вблизи стен каньона (точки 1-11 на рисунке </w:t>
      </w:r>
      <w:r w:rsidR="00E26168">
        <w:t xml:space="preserve">3 </w:t>
      </w:r>
      <w:r w:rsidR="00F04C4B" w:rsidRPr="003D7A79">
        <w:rPr>
          <w:i/>
        </w:rPr>
        <w:t>а</w:t>
      </w:r>
      <w:r w:rsidR="00F04C4B">
        <w:t xml:space="preserve">). Для варианта № 2 – в 10 зонах, находящихся между аппаратом и стенами каньона (точки 12-21 на рисунке </w:t>
      </w:r>
      <w:r w:rsidR="00E26168">
        <w:t>4</w:t>
      </w:r>
      <w:r w:rsidR="00F04C4B">
        <w:t xml:space="preserve"> </w:t>
      </w:r>
      <w:r w:rsidR="00F04C4B">
        <w:rPr>
          <w:i/>
        </w:rPr>
        <w:t>а</w:t>
      </w:r>
      <w:r w:rsidR="00F04C4B">
        <w:t xml:space="preserve">). Вариант № 3 </w:t>
      </w:r>
      <w:r>
        <w:t>–</w:t>
      </w:r>
      <w:r w:rsidR="00F04C4B">
        <w:t xml:space="preserve"> это все точки вариантов № 1 и 2 (точки 1-21). Варианты № 4-6 – это различные комбинации 8 точек из варианта № 2. В варианте № 4 отсутствуют 2 точки напротив центральной части аппарата (точки 12-15 и 18-21), в варианте № 5 – одна точка напротив центральной части аппарата и одна точка внизу каньона (точки 13-16 и 18-21), а в варианте № 6 – одна точка напротив центральной части аппарата и одна точка вверху каньона (точки 12-16 и 18-20). Варианты № 7-9 – это различные комбинации 7-9 точек из варианта № 3.</w:t>
      </w:r>
    </w:p>
    <w:p w14:paraId="0AD6CCB0" w14:textId="77777777" w:rsidR="0066412A" w:rsidRPr="0066412A" w:rsidRDefault="00F04C4B" w:rsidP="0066412A">
      <w:pPr>
        <w:pStyle w:val="aff"/>
        <w:spacing w:line="276" w:lineRule="auto"/>
        <w:ind w:firstLine="680"/>
      </w:pPr>
      <w:r>
        <w:t xml:space="preserve">Значения </w:t>
      </w:r>
      <w:r w:rsidRPr="00BB3889">
        <w:rPr>
          <w:i/>
        </w:rPr>
        <w:t>МЭД</w:t>
      </w:r>
      <w:r w:rsidRPr="00BB3889">
        <w:rPr>
          <w:i/>
          <w:vertAlign w:val="subscript"/>
        </w:rPr>
        <w:t>КИРО</w:t>
      </w:r>
      <w:r w:rsidR="00CB0F02">
        <w:t>, которые задавали</w:t>
      </w:r>
      <w:r w:rsidR="00580D27">
        <w:t>сь</w:t>
      </w:r>
      <w:r>
        <w:t xml:space="preserve"> в вышеописанных зонах, п</w:t>
      </w:r>
      <w:r w:rsidR="0066412A">
        <w:t xml:space="preserve">олучены в результате решения прямой задачи с использованием имеющихся данных КИРО. На рисунках 3 и 4 </w:t>
      </w:r>
      <w:r w:rsidR="0066412A" w:rsidRPr="0066412A">
        <w:rPr>
          <w:i/>
        </w:rPr>
        <w:t>б)</w:t>
      </w:r>
      <w:r w:rsidR="0066412A">
        <w:t xml:space="preserve"> представлены полученные распределения </w:t>
      </w:r>
      <w:r w:rsidR="0066412A" w:rsidRPr="00BB3889">
        <w:rPr>
          <w:i/>
        </w:rPr>
        <w:t>МЭД</w:t>
      </w:r>
      <w:r w:rsidR="0066412A" w:rsidRPr="00BB3889">
        <w:rPr>
          <w:i/>
          <w:vertAlign w:val="subscript"/>
        </w:rPr>
        <w:t>КИРО</w:t>
      </w:r>
      <w:r w:rsidR="0066412A">
        <w:t xml:space="preserve"> у поверхности аппарата.</w:t>
      </w:r>
    </w:p>
    <w:p w14:paraId="6D774391" w14:textId="77777777" w:rsidR="00445189" w:rsidRPr="00102586" w:rsidRDefault="00445189" w:rsidP="006C3E36">
      <w:pPr>
        <w:pStyle w:val="af5"/>
        <w:spacing w:line="276" w:lineRule="auto"/>
        <w:rPr>
          <w:i/>
        </w:rPr>
      </w:pPr>
      <w:r w:rsidRPr="00102586">
        <w:rPr>
          <w:i/>
        </w:rPr>
        <w:t>Результаты совместных расчетов и аналитика</w:t>
      </w:r>
    </w:p>
    <w:p w14:paraId="13680465" w14:textId="77777777" w:rsidR="00F04C4B" w:rsidRDefault="00964915" w:rsidP="00CB0F02">
      <w:pPr>
        <w:pStyle w:val="aff"/>
        <w:spacing w:line="276" w:lineRule="auto"/>
        <w:ind w:firstLine="680"/>
      </w:pPr>
      <w:r>
        <w:t>Следующим этапом</w:t>
      </w:r>
      <w:r w:rsidR="00F04C4B">
        <w:t xml:space="preserve"> был расчет активностей всех источников аппарата по РПК MOUSE для каждого варианта задания зон регистраций. Полученные з</w:t>
      </w:r>
      <w:r w:rsidR="00F04C4B" w:rsidRPr="00201C91">
        <w:t>начения активностей</w:t>
      </w:r>
      <w:r w:rsidR="00F04C4B">
        <w:t xml:space="preserve"> </w:t>
      </w:r>
      <w:r w:rsidR="00F04C4B" w:rsidRPr="00201C91">
        <w:t xml:space="preserve">использовались для </w:t>
      </w:r>
      <w:bookmarkStart w:id="0" w:name="_GoBack"/>
      <w:bookmarkEnd w:id="0"/>
      <w:r w:rsidR="00F04C4B" w:rsidRPr="00201C91">
        <w:t xml:space="preserve">нахождения пространственных распределений МЭД в различных областях каньона. </w:t>
      </w:r>
      <w:r w:rsidR="00CB0F02">
        <w:t>Для примера н</w:t>
      </w:r>
      <w:r w:rsidR="00F04C4B" w:rsidRPr="00201C91">
        <w:t xml:space="preserve">а рисунках </w:t>
      </w:r>
      <w:r w:rsidR="00CB0F02">
        <w:t>3 и 4</w:t>
      </w:r>
      <w:r w:rsidR="00F04C4B">
        <w:t xml:space="preserve"> </w:t>
      </w:r>
      <w:r w:rsidR="00F04C4B" w:rsidRPr="00705C1D">
        <w:rPr>
          <w:i/>
        </w:rPr>
        <w:t>б</w:t>
      </w:r>
      <w:r w:rsidR="00F04C4B" w:rsidRPr="004371E8">
        <w:rPr>
          <w:i/>
        </w:rPr>
        <w:t>)</w:t>
      </w:r>
      <w:r w:rsidR="00F04C4B" w:rsidRPr="00201C91">
        <w:t xml:space="preserve"> в сравнении с </w:t>
      </w:r>
      <w:r w:rsidR="00F04C4B">
        <w:t>р</w:t>
      </w:r>
      <w:r w:rsidR="00F04C4B" w:rsidRPr="00201C91">
        <w:t>аспределением</w:t>
      </w:r>
      <w:r w:rsidR="00F04C4B">
        <w:t xml:space="preserve"> </w:t>
      </w:r>
      <w:r w:rsidR="00F04C4B" w:rsidRPr="00BB3889">
        <w:rPr>
          <w:i/>
        </w:rPr>
        <w:t>МЭД</w:t>
      </w:r>
      <w:r w:rsidR="00F04C4B" w:rsidRPr="00BB3889">
        <w:rPr>
          <w:i/>
          <w:vertAlign w:val="subscript"/>
        </w:rPr>
        <w:t>КИРО</w:t>
      </w:r>
      <w:r w:rsidR="00F04C4B" w:rsidRPr="00201C91">
        <w:t xml:space="preserve"> представлены высотные распределения МЭД </w:t>
      </w:r>
      <w:r w:rsidR="00F04C4B">
        <w:t xml:space="preserve">у поверхности аппарата </w:t>
      </w:r>
      <w:r w:rsidR="00F04C4B" w:rsidRPr="00201C91">
        <w:t>для вариантов задания точек</w:t>
      </w:r>
      <w:r w:rsidR="00F04C4B">
        <w:t xml:space="preserve"> № 1 </w:t>
      </w:r>
      <w:r w:rsidR="00CB0F02">
        <w:t>и 2</w:t>
      </w:r>
      <w:r w:rsidR="00F04C4B">
        <w:t xml:space="preserve"> соответственно</w:t>
      </w:r>
      <w:r w:rsidR="00F04C4B" w:rsidRPr="00201C91">
        <w:t>.</w:t>
      </w:r>
    </w:p>
    <w:p w14:paraId="187D4DC4" w14:textId="77777777" w:rsidR="0066412A" w:rsidRPr="00C0725A" w:rsidRDefault="0066412A" w:rsidP="0066412A">
      <w:pPr>
        <w:pStyle w:val="aff"/>
        <w:spacing w:line="276" w:lineRule="auto"/>
        <w:ind w:firstLine="680"/>
      </w:pPr>
      <w:r>
        <w:t xml:space="preserve">Сравнительный анализ распределений на рисунке 3 </w:t>
      </w:r>
      <w:r w:rsidRPr="00C0725A">
        <w:rPr>
          <w:i/>
        </w:rPr>
        <w:t>б)</w:t>
      </w:r>
      <w:r>
        <w:t xml:space="preserve"> показал, что вариант № 1 задания регистрационных зон, когда они располагались вблизи источников излучения, не привел к ожидаемому распределению </w:t>
      </w:r>
      <w:r w:rsidRPr="00585E67">
        <w:rPr>
          <w:i/>
        </w:rPr>
        <w:t>МЭД</w:t>
      </w:r>
      <w:r w:rsidRPr="00585E67">
        <w:rPr>
          <w:i/>
          <w:vertAlign w:val="subscript"/>
        </w:rPr>
        <w:t>КИРО</w:t>
      </w:r>
      <w:r>
        <w:t>: распределения не совпали как качественно, так и количественно (особенно внизу и в центральной части аппарата).</w:t>
      </w:r>
    </w:p>
    <w:p w14:paraId="1A1D1F17" w14:textId="77777777" w:rsidR="0066412A" w:rsidRPr="00C0725A" w:rsidRDefault="0066412A" w:rsidP="0066412A">
      <w:pPr>
        <w:pStyle w:val="aff"/>
        <w:spacing w:line="276" w:lineRule="auto"/>
        <w:ind w:firstLine="680"/>
      </w:pPr>
      <w:r>
        <w:t xml:space="preserve">Сравнительный анализ распределений на рисунке 4 </w:t>
      </w:r>
      <w:r w:rsidRPr="00C0725A">
        <w:rPr>
          <w:i/>
        </w:rPr>
        <w:t>б)</w:t>
      </w:r>
      <w:r>
        <w:t xml:space="preserve"> показал, что вариант № 2 задания регистрационных зон, когда они располагались несколько удаленно от источников излучения, привел к близкому распределению </w:t>
      </w:r>
      <w:r w:rsidRPr="00585E67">
        <w:rPr>
          <w:i/>
        </w:rPr>
        <w:t>МЭД</w:t>
      </w:r>
      <w:r w:rsidRPr="00585E67">
        <w:rPr>
          <w:i/>
          <w:vertAlign w:val="subscript"/>
        </w:rPr>
        <w:t>КИРО</w:t>
      </w:r>
      <w:r>
        <w:t xml:space="preserve"> как качественно, так и количественно. Аналогичная ситуация наблюдалась также и для других удаленных от источников вариантов задания точек – вариантов 4 и 6. При этом</w:t>
      </w:r>
      <w:r w:rsidR="00964915">
        <w:t>,</w:t>
      </w:r>
      <w:r>
        <w:t xml:space="preserve"> когда из «удаленных» точек убрали точку,</w:t>
      </w:r>
      <w:r w:rsidRPr="008813F6">
        <w:t xml:space="preserve"> </w:t>
      </w:r>
      <w:r>
        <w:t>находящуюся внизу каньона, где ожидаются максимальные значения МЭД (вариант № 5), полученное распределение сильно не совпало в нижней части аппарата.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04C4B" w14:paraId="287D8A84" w14:textId="77777777" w:rsidTr="00062CCD">
        <w:tc>
          <w:tcPr>
            <w:tcW w:w="4077" w:type="dxa"/>
          </w:tcPr>
          <w:p w14:paraId="6A3E6263" w14:textId="77777777" w:rsidR="00F04C4B" w:rsidRPr="001F6EF2" w:rsidRDefault="00F04C4B" w:rsidP="00062CCD">
            <w:pPr>
              <w:pStyle w:val="aff"/>
              <w:ind w:firstLine="0"/>
              <w:jc w:val="center"/>
            </w:pPr>
            <w:r>
              <w:object w:dxaOrig="8671" w:dyaOrig="9526" w14:anchorId="3550169C">
                <v:shape id="_x0000_i1027" type="#_x0000_t75" style="width:187.5pt;height:237.75pt" o:ole="">
                  <v:imagedata r:id="rId11" o:title="" cropleft="4180f" cropright="4180f"/>
                </v:shape>
                <o:OLEObject Type="Embed" ProgID="Visio.Drawing.15" ShapeID="_x0000_i1027" DrawAspect="Content" ObjectID="_1694606453" r:id="rId12"/>
              </w:object>
            </w:r>
            <w:r w:rsidRPr="007C1740">
              <w:rPr>
                <w:i/>
              </w:rPr>
              <w:t>а)</w:t>
            </w:r>
          </w:p>
        </w:tc>
        <w:tc>
          <w:tcPr>
            <w:tcW w:w="5494" w:type="dxa"/>
          </w:tcPr>
          <w:p w14:paraId="7651502B" w14:textId="77777777" w:rsidR="00F04C4B" w:rsidRDefault="00F04C4B" w:rsidP="00062CCD">
            <w:pPr>
              <w:pStyle w:val="aff"/>
              <w:ind w:firstLine="0"/>
              <w:jc w:val="center"/>
            </w:pPr>
            <w:r w:rsidRPr="00052CD5">
              <w:rPr>
                <w:noProof/>
              </w:rPr>
              <w:drawing>
                <wp:inline distT="0" distB="0" distL="0" distR="0" wp14:anchorId="5C8020D5" wp14:editId="3A787421">
                  <wp:extent cx="3276600" cy="3048000"/>
                  <wp:effectExtent l="0" t="0" r="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Pr="001F6EF2">
              <w:rPr>
                <w:i/>
              </w:rPr>
              <w:t>б)</w:t>
            </w:r>
          </w:p>
        </w:tc>
      </w:tr>
    </w:tbl>
    <w:p w14:paraId="7337BE65" w14:textId="77777777" w:rsidR="00F04C4B" w:rsidRPr="00CB0F02" w:rsidRDefault="00F04C4B" w:rsidP="00F04C4B">
      <w:pPr>
        <w:pStyle w:val="aff2"/>
        <w:rPr>
          <w:i/>
        </w:rPr>
      </w:pPr>
      <w:r w:rsidRPr="00CB0F02">
        <w:rPr>
          <w:i/>
        </w:rPr>
        <w:t>Рисунок</w:t>
      </w:r>
      <w:r w:rsidR="00CB0F02" w:rsidRPr="00CB0F02">
        <w:rPr>
          <w:i/>
        </w:rPr>
        <w:t xml:space="preserve"> 3</w:t>
      </w:r>
      <w:r w:rsidRPr="00CB0F02">
        <w:rPr>
          <w:i/>
        </w:rPr>
        <w:t>– Схематичное расположение зон регистраций для варианта № 1 (а) и распределение МЭД у поверхности аппарата в сравнении с распределением МЭД</w:t>
      </w:r>
      <w:r w:rsidRPr="00CB0F02">
        <w:rPr>
          <w:i/>
          <w:vertAlign w:val="subscript"/>
        </w:rPr>
        <w:t>КИРО</w:t>
      </w:r>
      <w:r w:rsidRPr="00CB0F02">
        <w:rPr>
          <w:i/>
        </w:rPr>
        <w:t xml:space="preserve"> (б)</w:t>
      </w:r>
      <w:r w:rsidRPr="00CB0F02">
        <w:rPr>
          <w:i/>
          <w:vertAlign w:val="subscript"/>
        </w:rPr>
        <w:t>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5485"/>
      </w:tblGrid>
      <w:tr w:rsidR="00F04C4B" w14:paraId="1E1AD7B6" w14:textId="77777777" w:rsidTr="0066412A">
        <w:tc>
          <w:tcPr>
            <w:tcW w:w="4103" w:type="dxa"/>
          </w:tcPr>
          <w:p w14:paraId="3C901DBB" w14:textId="77777777" w:rsidR="00F04C4B" w:rsidRDefault="00F04C4B" w:rsidP="00062CCD">
            <w:pPr>
              <w:pStyle w:val="aff"/>
              <w:ind w:firstLine="0"/>
              <w:jc w:val="center"/>
            </w:pPr>
            <w:r>
              <w:object w:dxaOrig="12870" w:dyaOrig="14146" w14:anchorId="3A0BED48">
                <v:shape id="_x0000_i1028" type="#_x0000_t75" style="width:194.25pt;height:244.5pt;mso-position-vertical:absolute" o:ole="">
                  <v:imagedata r:id="rId14" o:title="" cropleft="4224f" cropright="4224f"/>
                </v:shape>
                <o:OLEObject Type="Embed" ProgID="Visio.Drawing.15" ShapeID="_x0000_i1028" DrawAspect="Content" ObjectID="_1694606454" r:id="rId15"/>
              </w:object>
            </w:r>
            <w:r w:rsidRPr="007C1740">
              <w:rPr>
                <w:i/>
              </w:rPr>
              <w:t>а)</w:t>
            </w:r>
          </w:p>
        </w:tc>
        <w:tc>
          <w:tcPr>
            <w:tcW w:w="5485" w:type="dxa"/>
          </w:tcPr>
          <w:p w14:paraId="7FD15E47" w14:textId="77777777" w:rsidR="00F04C4B" w:rsidRPr="001F6EF2" w:rsidRDefault="00F04C4B" w:rsidP="00062CCD">
            <w:pPr>
              <w:pStyle w:val="aff"/>
              <w:ind w:firstLine="0"/>
              <w:jc w:val="center"/>
            </w:pPr>
            <w:r w:rsidRPr="00E313BF">
              <w:rPr>
                <w:noProof/>
              </w:rPr>
              <w:drawing>
                <wp:inline distT="0" distB="0" distL="0" distR="0" wp14:anchorId="769AAE15" wp14:editId="27154E0C">
                  <wp:extent cx="3324860" cy="3114675"/>
                  <wp:effectExtent l="0" t="0" r="889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RPr="001F6EF2">
              <w:rPr>
                <w:i/>
              </w:rPr>
              <w:t>б)</w:t>
            </w:r>
          </w:p>
        </w:tc>
      </w:tr>
    </w:tbl>
    <w:p w14:paraId="06D215CC" w14:textId="77777777" w:rsidR="00F04C4B" w:rsidRPr="00CB0F02" w:rsidRDefault="00F04C4B" w:rsidP="00F04C4B">
      <w:pPr>
        <w:pStyle w:val="aff2"/>
        <w:rPr>
          <w:i/>
          <w:vertAlign w:val="subscript"/>
        </w:rPr>
      </w:pPr>
      <w:r w:rsidRPr="00CB0F02">
        <w:rPr>
          <w:i/>
        </w:rPr>
        <w:t xml:space="preserve">Рисунок </w:t>
      </w:r>
      <w:r w:rsidR="00CB0F02" w:rsidRPr="00CB0F02">
        <w:rPr>
          <w:i/>
        </w:rPr>
        <w:t>4</w:t>
      </w:r>
      <w:r w:rsidRPr="00CB0F02">
        <w:rPr>
          <w:i/>
        </w:rPr>
        <w:t xml:space="preserve"> – Схематичное расположение зон регистраций для варианта № 2 (а) и распределение МЭД у поверхности аппарата в сравнении с распределением МЭД</w:t>
      </w:r>
      <w:r w:rsidRPr="00CB0F02">
        <w:rPr>
          <w:i/>
          <w:vertAlign w:val="subscript"/>
        </w:rPr>
        <w:t>КИРО</w:t>
      </w:r>
      <w:r w:rsidRPr="00CB0F02">
        <w:rPr>
          <w:i/>
        </w:rPr>
        <w:t xml:space="preserve"> (б)</w:t>
      </w:r>
      <w:r w:rsidRPr="00CB0F02">
        <w:rPr>
          <w:i/>
          <w:vertAlign w:val="subscript"/>
        </w:rPr>
        <w:t>.</w:t>
      </w:r>
    </w:p>
    <w:p w14:paraId="449ADAD2" w14:textId="77777777" w:rsidR="00F04C4B" w:rsidRPr="00C0725A" w:rsidRDefault="00B47A8F" w:rsidP="00B47A8F">
      <w:pPr>
        <w:pStyle w:val="aff"/>
        <w:spacing w:line="276" w:lineRule="auto"/>
        <w:ind w:firstLine="680"/>
      </w:pPr>
      <w:r>
        <w:t>Аналогично проведенный с</w:t>
      </w:r>
      <w:r w:rsidR="00F04C4B">
        <w:t xml:space="preserve">равнительный анализ распределений </w:t>
      </w:r>
      <w:r w:rsidR="008813F6">
        <w:t>для вариантов</w:t>
      </w:r>
      <w:r>
        <w:t xml:space="preserve"> № 3</w:t>
      </w:r>
      <w:r w:rsidR="008813F6">
        <w:t>, 7-9 показал</w:t>
      </w:r>
      <w:r w:rsidR="00F04C4B">
        <w:t>, что вариант</w:t>
      </w:r>
      <w:r w:rsidR="008813F6">
        <w:t>ы</w:t>
      </w:r>
      <w:r w:rsidR="00F04C4B">
        <w:t xml:space="preserve"> задания регистрацион</w:t>
      </w:r>
      <w:r w:rsidR="008813F6">
        <w:t>ных зон, когда они располагались</w:t>
      </w:r>
      <w:r w:rsidR="00F04C4B">
        <w:t xml:space="preserve"> и вблизи источников излучения и удаленно от</w:t>
      </w:r>
      <w:r w:rsidR="008813F6">
        <w:t xml:space="preserve"> них, не привели</w:t>
      </w:r>
      <w:r w:rsidR="00F04C4B">
        <w:t xml:space="preserve"> к ожидаемому распределению </w:t>
      </w:r>
      <w:r w:rsidR="00F04C4B" w:rsidRPr="00585E67">
        <w:rPr>
          <w:i/>
        </w:rPr>
        <w:lastRenderedPageBreak/>
        <w:t>МЭД</w:t>
      </w:r>
      <w:r w:rsidR="00F04C4B" w:rsidRPr="00585E67">
        <w:rPr>
          <w:i/>
          <w:vertAlign w:val="subscript"/>
        </w:rPr>
        <w:t>КИРО</w:t>
      </w:r>
      <w:r w:rsidR="008813F6">
        <w:t>: распределения не совпали</w:t>
      </w:r>
      <w:r w:rsidR="00F04C4B">
        <w:t xml:space="preserve"> как качественно, так и количественно (особенно внизу и в центральной части аппарата).</w:t>
      </w:r>
    </w:p>
    <w:p w14:paraId="03C98E79" w14:textId="77777777" w:rsidR="00F04C4B" w:rsidRDefault="00F04C4B" w:rsidP="00C17A1D">
      <w:pPr>
        <w:pStyle w:val="aff"/>
        <w:spacing w:line="276" w:lineRule="auto"/>
        <w:ind w:firstLine="680"/>
      </w:pPr>
      <w:r>
        <w:t>Таким образом, на основании проведенного сравнительного анализа можно сделать следующие выводы по части зон регистраций:</w:t>
      </w:r>
    </w:p>
    <w:p w14:paraId="666B65D0" w14:textId="77777777" w:rsidR="00F04C4B" w:rsidRDefault="00F04C4B" w:rsidP="00C17A1D">
      <w:pPr>
        <w:pStyle w:val="1"/>
        <w:spacing w:before="120" w:after="120" w:line="276" w:lineRule="auto"/>
        <w:ind w:firstLine="680"/>
      </w:pPr>
      <w:r>
        <w:t>наличие зон вблизи источников излучения приводит к некорректным распределениям МЭД (варианты № 1, 3, 7-9);</w:t>
      </w:r>
    </w:p>
    <w:p w14:paraId="412DBCB2" w14:textId="77777777" w:rsidR="00F04C4B" w:rsidRDefault="00F04C4B" w:rsidP="00C17A1D">
      <w:pPr>
        <w:pStyle w:val="1"/>
        <w:spacing w:before="120" w:after="120" w:line="276" w:lineRule="auto"/>
        <w:ind w:firstLine="680"/>
      </w:pPr>
      <w:r>
        <w:t>в случае использования зон вблизи источников, ситуацию не «спасет» даже их большое количество (вариант № 3), то есть для достижения корректных распределений МЭД все зоны должны быть удалены от источников (варианты № 2, 4 и 6);</w:t>
      </w:r>
    </w:p>
    <w:p w14:paraId="12ACD43B" w14:textId="77777777" w:rsidR="00F04C4B" w:rsidRDefault="00F04C4B" w:rsidP="00C17A1D">
      <w:pPr>
        <w:pStyle w:val="1"/>
        <w:spacing w:before="120" w:after="120" w:line="276" w:lineRule="auto"/>
        <w:ind w:firstLine="680"/>
      </w:pPr>
      <w:r>
        <w:t xml:space="preserve">не использование зон, где ожидаются максимальные значения МЭД, приводит к некорректным распределениям </w:t>
      </w:r>
      <w:r w:rsidR="006F5F25">
        <w:t xml:space="preserve">в этой особенно важной области </w:t>
      </w:r>
      <w:r>
        <w:t>(вариант № 5);</w:t>
      </w:r>
    </w:p>
    <w:p w14:paraId="0B568D90" w14:textId="77777777" w:rsidR="00F04C4B" w:rsidRPr="007846A6" w:rsidRDefault="00F04C4B" w:rsidP="00C17A1D">
      <w:pPr>
        <w:pStyle w:val="1"/>
        <w:spacing w:before="120" w:after="120" w:line="276" w:lineRule="auto"/>
        <w:ind w:firstLine="680"/>
      </w:pPr>
      <w:r>
        <w:t>для получения корректных распределений МЭД достаточно 8 зон (варианты № 4 и 6).</w:t>
      </w:r>
    </w:p>
    <w:p w14:paraId="128194A6" w14:textId="77777777" w:rsidR="00F04C4B" w:rsidRPr="00F04C4B" w:rsidRDefault="00F04C4B" w:rsidP="00CB0F02">
      <w:pPr>
        <w:pStyle w:val="aff"/>
        <w:spacing w:line="276" w:lineRule="auto"/>
        <w:ind w:firstLine="680"/>
        <w:rPr>
          <w:b/>
        </w:rPr>
      </w:pPr>
      <w:r w:rsidRPr="00F04C4B">
        <w:rPr>
          <w:b/>
        </w:rPr>
        <w:t>Заключение</w:t>
      </w:r>
    </w:p>
    <w:p w14:paraId="103054C9" w14:textId="77777777" w:rsidR="002529DB" w:rsidRDefault="008813F6" w:rsidP="00CB0F02">
      <w:pPr>
        <w:pStyle w:val="aff"/>
        <w:spacing w:line="276" w:lineRule="auto"/>
        <w:ind w:firstLine="680"/>
      </w:pPr>
      <w:r>
        <w:t>В работе</w:t>
      </w:r>
      <w:r w:rsidR="002529DB">
        <w:t xml:space="preserve"> представлен подход формирования рекомендаций по проведению КИРО для улучшения его качества. Рекомендации касаются регистрационных зон, по значениям МЭД в которых будет корректно решаться обратная задача – расчет активностей источников излучения по имеющимся значениям МЭД – что в свою очередь дает возможность достоверно о</w:t>
      </w:r>
      <w:r>
        <w:t>ценить дозовые поля вблизи ОЯН</w:t>
      </w:r>
      <w:r w:rsidR="002529DB">
        <w:t>.</w:t>
      </w:r>
    </w:p>
    <w:p w14:paraId="29316A81" w14:textId="36E2B8EC" w:rsidR="002529DB" w:rsidRDefault="002529DB" w:rsidP="00CB0F02">
      <w:pPr>
        <w:pStyle w:val="aff"/>
        <w:spacing w:line="276" w:lineRule="auto"/>
        <w:ind w:firstLine="680"/>
      </w:pPr>
      <w:r>
        <w:t xml:space="preserve">Подход формирования рекомендаций по проведению КИРО отрабатывался на </w:t>
      </w:r>
      <w:r w:rsidR="00CF35F0">
        <w:t>каньоне с аппаратом</w:t>
      </w:r>
      <w:r>
        <w:t xml:space="preserve"> химической технологии</w:t>
      </w:r>
      <w:r w:rsidR="00CF35F0">
        <w:t xml:space="preserve"> переработки облученных стандартных урановых блоков</w:t>
      </w:r>
      <w:r>
        <w:t xml:space="preserve">. Показано, что </w:t>
      </w:r>
      <w:r w:rsidR="00C66EBF">
        <w:t xml:space="preserve">на корректное восстановление </w:t>
      </w:r>
      <w:r w:rsidR="00EE1400">
        <w:t xml:space="preserve">дозовых полей </w:t>
      </w:r>
      <w:r w:rsidR="00C66EBF">
        <w:t>в</w:t>
      </w:r>
      <w:r w:rsidR="00EE1400">
        <w:t>нутри каньона</w:t>
      </w:r>
      <w:r>
        <w:t xml:space="preserve"> </w:t>
      </w:r>
      <w:r w:rsidR="00C66EBF">
        <w:t>влияет расположение</w:t>
      </w:r>
      <w:r>
        <w:t xml:space="preserve"> регистрационны</w:t>
      </w:r>
      <w:r w:rsidR="00C66EBF">
        <w:t>х</w:t>
      </w:r>
      <w:r>
        <w:t xml:space="preserve"> зон. </w:t>
      </w:r>
      <w:r w:rsidR="00C66EBF">
        <w:t xml:space="preserve">По полученным на </w:t>
      </w:r>
      <w:r w:rsidR="00932193">
        <w:t>данном</w:t>
      </w:r>
      <w:r w:rsidR="00C66EBF">
        <w:t xml:space="preserve"> примере результатам, можно </w:t>
      </w:r>
      <w:r w:rsidR="00932193">
        <w:t>сформулировать предварительны</w:t>
      </w:r>
      <w:r w:rsidR="007152CF">
        <w:t>е</w:t>
      </w:r>
      <w:r w:rsidR="00932193">
        <w:t xml:space="preserve"> </w:t>
      </w:r>
      <w:r>
        <w:t xml:space="preserve">рекомендации по выбору регистрационных зон при </w:t>
      </w:r>
      <w:r w:rsidR="00EE1400">
        <w:t>проведении КИРО рассматриваемого аппарата</w:t>
      </w:r>
      <w:r>
        <w:t>:</w:t>
      </w:r>
    </w:p>
    <w:p w14:paraId="67CF9547" w14:textId="77777777" w:rsidR="002529DB" w:rsidRDefault="002529DB" w:rsidP="00CB0F02">
      <w:pPr>
        <w:pStyle w:val="1"/>
        <w:numPr>
          <w:ilvl w:val="0"/>
          <w:numId w:val="4"/>
        </w:numPr>
        <w:spacing w:before="120" w:after="120" w:line="276" w:lineRule="auto"/>
        <w:ind w:left="0" w:firstLine="680"/>
      </w:pPr>
      <w:r>
        <w:t>минимальное количество зон должно соответствовать числу источников ионизирующего излучения;</w:t>
      </w:r>
    </w:p>
    <w:p w14:paraId="219EAA66" w14:textId="77777777" w:rsidR="002529DB" w:rsidRDefault="002529DB" w:rsidP="00CB0F02">
      <w:pPr>
        <w:pStyle w:val="1"/>
        <w:numPr>
          <w:ilvl w:val="0"/>
          <w:numId w:val="4"/>
        </w:numPr>
        <w:spacing w:before="120" w:after="120" w:line="276" w:lineRule="auto"/>
        <w:ind w:left="0" w:firstLine="680"/>
      </w:pPr>
      <w:r>
        <w:t>все зоны должны располагаться несколько удаленно от источников излучения;</w:t>
      </w:r>
    </w:p>
    <w:p w14:paraId="5EFBCA38" w14:textId="77777777" w:rsidR="002529DB" w:rsidRDefault="002529DB" w:rsidP="00CB0F02">
      <w:pPr>
        <w:pStyle w:val="1"/>
        <w:numPr>
          <w:ilvl w:val="0"/>
          <w:numId w:val="4"/>
        </w:numPr>
        <w:spacing w:before="120" w:after="120" w:line="276" w:lineRule="auto"/>
        <w:ind w:left="0" w:firstLine="680"/>
      </w:pPr>
      <w:r>
        <w:t>необходимо использовать зоны, в которых ожидаются максимальные значения МЭД.</w:t>
      </w:r>
    </w:p>
    <w:p w14:paraId="7C89A4E6" w14:textId="469F4D2C" w:rsidR="002529DB" w:rsidRPr="00CB0F02" w:rsidRDefault="002529DB" w:rsidP="00CB0F02">
      <w:pPr>
        <w:pStyle w:val="aff"/>
        <w:spacing w:line="276" w:lineRule="auto"/>
        <w:ind w:firstLine="680"/>
      </w:pPr>
      <w:r w:rsidRPr="00CB0F02">
        <w:t xml:space="preserve">Следует отметить, что </w:t>
      </w:r>
      <w:r w:rsidR="00580D27">
        <w:t>представленный</w:t>
      </w:r>
      <w:r w:rsidR="00580D27" w:rsidRPr="00CB0F02">
        <w:t xml:space="preserve"> </w:t>
      </w:r>
      <w:r w:rsidRPr="00CB0F02">
        <w:t>подход находится на начальной стадии разработки и требует дальнейшей отработки на других практических задачах. Приведенные рекомендации касают</w:t>
      </w:r>
      <w:r w:rsidR="007152CF">
        <w:t>ся только рассмотренных условий</w:t>
      </w:r>
      <w:r w:rsidRPr="00CB0F02">
        <w:t xml:space="preserve"> </w:t>
      </w:r>
      <w:r w:rsidR="008813F6">
        <w:t>ОЯН</w:t>
      </w:r>
      <w:r w:rsidRPr="00CB0F02">
        <w:t>. Например, на данный момент времени рассматривались источники излучений только с одним радионуклидом (цезием-137)</w:t>
      </w:r>
      <w:r w:rsidR="00580D27">
        <w:t>, можно ожидать, что добавление</w:t>
      </w:r>
      <w:r w:rsidRPr="00CB0F02">
        <w:t xml:space="preserve"> других радионуклидов </w:t>
      </w:r>
      <w:r w:rsidR="008813F6" w:rsidRPr="00CB0F02">
        <w:t xml:space="preserve">(например, кобальта-60) </w:t>
      </w:r>
      <w:r w:rsidRPr="00CB0F02">
        <w:t xml:space="preserve">усложнит </w:t>
      </w:r>
      <w:r w:rsidR="00580D27">
        <w:t xml:space="preserve">решение </w:t>
      </w:r>
      <w:r w:rsidRPr="00CB0F02">
        <w:t xml:space="preserve">задачи. </w:t>
      </w:r>
    </w:p>
    <w:p w14:paraId="47881499" w14:textId="77777777" w:rsidR="00215845" w:rsidRDefault="000A22CD" w:rsidP="000A22CD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4A8B13F6" w14:textId="77777777" w:rsidR="00A32DAB" w:rsidRDefault="00A32DAB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bookmarkStart w:id="1" w:name="_Ref68529944"/>
      <w:bookmarkStart w:id="2" w:name="_Ref68694508"/>
      <w:r>
        <w:t xml:space="preserve">Руководство по безопасности при использовании атомной энергии. Рекомендации по разработке программы комплексного инженерного и радиационного обследования </w:t>
      </w:r>
      <w:r>
        <w:lastRenderedPageBreak/>
        <w:t>объекта использования атомной энергии (РБ – 160 – 19). – Федеральная служба по экологическому, технологическому и атомному надзору, Москва, 2019.</w:t>
      </w:r>
      <w:bookmarkEnd w:id="1"/>
    </w:p>
    <w:p w14:paraId="5489B12A" w14:textId="77777777" w:rsidR="000A22CD" w:rsidRPr="000A22CD" w:rsidRDefault="000A22CD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r w:rsidRPr="000A22CD">
        <w:rPr>
          <w:iCs/>
        </w:rPr>
        <w:t xml:space="preserve">Блохин А.И., Блохин П.А., Ванеев Ю.Е., Сипачев И.В. </w:t>
      </w:r>
      <w:hyperlink r:id="rId17" w:history="1">
        <w:r w:rsidRPr="000A22CD">
          <w:t>Программный комплекс "КОРИДА" для прогнозирования радиационных полей с учетом изменений характеристик источников излучения и инженерных барьеров безопасности</w:t>
        </w:r>
      </w:hyperlink>
      <w:r>
        <w:t xml:space="preserve"> //</w:t>
      </w:r>
      <w:r w:rsidRPr="000A22CD">
        <w:t xml:space="preserve"> </w:t>
      </w:r>
      <w:hyperlink r:id="rId18" w:history="1">
        <w:r w:rsidRPr="000A22CD">
          <w:t>Вопросы атомной науки и техники. Серия: Математическое моделирование физических процессов</w:t>
        </w:r>
      </w:hyperlink>
      <w:r w:rsidRPr="000A22CD">
        <w:t>.</w:t>
      </w:r>
      <w:r>
        <w:rPr>
          <w:shd w:val="clear" w:color="auto" w:fill="FFFFFF"/>
        </w:rPr>
        <w:t xml:space="preserve"> – </w:t>
      </w:r>
      <w:r w:rsidRPr="000A22CD">
        <w:t>2019.</w:t>
      </w:r>
      <w:r>
        <w:rPr>
          <w:shd w:val="clear" w:color="auto" w:fill="FFFFFF"/>
        </w:rPr>
        <w:t xml:space="preserve"> –</w:t>
      </w:r>
      <w:r w:rsidRPr="000A22CD">
        <w:t> </w:t>
      </w:r>
      <w:hyperlink r:id="rId19" w:history="1">
        <w:r w:rsidRPr="000A22CD">
          <w:t>№ 4</w:t>
        </w:r>
      </w:hyperlink>
      <w:r w:rsidRPr="000A22CD">
        <w:t>.</w:t>
      </w:r>
      <w:r>
        <w:rPr>
          <w:shd w:val="clear" w:color="auto" w:fill="FFFFFF"/>
        </w:rPr>
        <w:t xml:space="preserve"> – </w:t>
      </w:r>
      <w:r w:rsidRPr="000A22CD">
        <w:t>С. 78-87.</w:t>
      </w:r>
    </w:p>
    <w:p w14:paraId="415E6835" w14:textId="77777777" w:rsidR="0009131A" w:rsidRPr="009A04FF" w:rsidRDefault="0009131A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bookmarkStart w:id="3" w:name="_Ref75881777"/>
      <w:bookmarkEnd w:id="2"/>
      <w:r>
        <w:t>Программа</w:t>
      </w:r>
      <w:r w:rsidRPr="00CC3458">
        <w:rPr>
          <w:lang w:val="en-US"/>
        </w:rPr>
        <w:t xml:space="preserve"> </w:t>
      </w:r>
      <w:r w:rsidRPr="003E6104">
        <w:rPr>
          <w:lang w:val="en-US"/>
        </w:rPr>
        <w:t>TDMCC</w:t>
      </w:r>
      <w:r w:rsidRPr="00CC3458">
        <w:rPr>
          <w:lang w:val="en-US"/>
        </w:rPr>
        <w:t xml:space="preserve"> (</w:t>
      </w:r>
      <w:r w:rsidRPr="003E6104">
        <w:rPr>
          <w:lang w:val="en-US"/>
        </w:rPr>
        <w:t>Time</w:t>
      </w:r>
      <w:r w:rsidRPr="00CC3458">
        <w:rPr>
          <w:lang w:val="en-US"/>
        </w:rPr>
        <w:t xml:space="preserve"> </w:t>
      </w:r>
      <w:r w:rsidRPr="003E6104">
        <w:rPr>
          <w:lang w:val="en-US"/>
        </w:rPr>
        <w:t xml:space="preserve">Dependent Monte Carlo Code). </w:t>
      </w:r>
      <w:r>
        <w:t>Житник А.К., Рослов В.И., Семенова Т.В. и др. Свидетельство о государственной регистрации №2010614412 ФГУП «РФЯЦ ВНИИЭФ».</w:t>
      </w:r>
      <w:bookmarkEnd w:id="3"/>
    </w:p>
    <w:p w14:paraId="5DD08BD3" w14:textId="77777777" w:rsidR="009A04FF" w:rsidRPr="0009131A" w:rsidRDefault="009A04FF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r w:rsidRPr="005A6488">
        <w:t>Савельева</w:t>
      </w:r>
      <w:r>
        <w:rPr>
          <w:shd w:val="clear" w:color="auto" w:fill="FFFFFF"/>
        </w:rPr>
        <w:t xml:space="preserve"> Е. А. Концепция программного комплекса для оценки неопределенности при обосновании безопасности пунктов захоронения РАО //Ядерная и радиационная безопасность. – 2016. – №. 4. – С. 22-35.</w:t>
      </w:r>
    </w:p>
    <w:p w14:paraId="2490FDF0" w14:textId="77777777" w:rsidR="0009131A" w:rsidRPr="005A6488" w:rsidRDefault="0009131A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  <w:rPr>
          <w:lang w:val="en-US"/>
        </w:rPr>
      </w:pPr>
      <w:bookmarkStart w:id="4" w:name="_Ref68695070"/>
      <w:r w:rsidRPr="00EA47FD">
        <w:rPr>
          <w:lang w:val="en-US"/>
        </w:rPr>
        <w:t>Chakraborty</w:t>
      </w:r>
      <w:r w:rsidRPr="005A6488">
        <w:rPr>
          <w:shd w:val="clear" w:color="auto" w:fill="FFFFFF"/>
          <w:lang w:val="en-US"/>
        </w:rPr>
        <w:t xml:space="preserve"> U. K. (</w:t>
      </w:r>
      <w:proofErr w:type="gramStart"/>
      <w:r w:rsidRPr="005A6488">
        <w:rPr>
          <w:shd w:val="clear" w:color="auto" w:fill="FFFFFF"/>
          <w:lang w:val="en-US"/>
        </w:rPr>
        <w:t>ed</w:t>
      </w:r>
      <w:proofErr w:type="gramEnd"/>
      <w:r w:rsidRPr="005A6488">
        <w:rPr>
          <w:shd w:val="clear" w:color="auto" w:fill="FFFFFF"/>
          <w:lang w:val="en-US"/>
        </w:rPr>
        <w:t xml:space="preserve">.). Advances in differential evolution. – Springer, 2008. – </w:t>
      </w:r>
      <w:r>
        <w:rPr>
          <w:shd w:val="clear" w:color="auto" w:fill="FFFFFF"/>
        </w:rPr>
        <w:t>Т</w:t>
      </w:r>
      <w:r w:rsidRPr="005A6488">
        <w:rPr>
          <w:shd w:val="clear" w:color="auto" w:fill="FFFFFF"/>
          <w:lang w:val="en-US"/>
        </w:rPr>
        <w:t>. 143</w:t>
      </w:r>
      <w:bookmarkEnd w:id="4"/>
    </w:p>
    <w:p w14:paraId="696AA352" w14:textId="77777777" w:rsidR="000A22CD" w:rsidRPr="009A04FF" w:rsidRDefault="000A22CD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bookmarkStart w:id="5" w:name="_Ref68529921"/>
      <w:r>
        <w:t>Вывод из эксплуатации площадки №3 радиохимического завода АО «СХК». Вывод из эксплуатации производства переработки ОСУБ. Основные технологические и организационно-технические решения, № 311/01-01/546-ВК от 03.03.2020.</w:t>
      </w:r>
      <w:bookmarkEnd w:id="5"/>
    </w:p>
    <w:p w14:paraId="3B087767" w14:textId="77777777" w:rsidR="009A04FF" w:rsidRPr="003E6104" w:rsidRDefault="009A04FF" w:rsidP="009A04FF">
      <w:pPr>
        <w:pStyle w:val="a"/>
        <w:tabs>
          <w:tab w:val="clear" w:pos="993"/>
          <w:tab w:val="left" w:pos="1134"/>
        </w:tabs>
        <w:spacing w:line="276" w:lineRule="auto"/>
        <w:ind w:firstLine="680"/>
      </w:pPr>
      <w:bookmarkStart w:id="6" w:name="_Ref68530208"/>
      <w:r w:rsidRPr="003E6104">
        <w:t xml:space="preserve">Нормы радиационной безопасности НРБ-99/2009: Гигиенические нормативы СП 2.6.1.2523-09. – М.: Федеральный центр гигиены и эпидемиологии </w:t>
      </w:r>
      <w:proofErr w:type="spellStart"/>
      <w:r w:rsidRPr="003E6104">
        <w:t>Роспотребнадзора</w:t>
      </w:r>
      <w:proofErr w:type="spellEnd"/>
      <w:r w:rsidRPr="003E6104">
        <w:t xml:space="preserve"> России, 2009. - 100 с.</w:t>
      </w:r>
      <w:bookmarkEnd w:id="6"/>
    </w:p>
    <w:sectPr w:rsidR="009A04FF" w:rsidRPr="003E6104" w:rsidSect="00AE7B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8E3EA4" w15:done="0"/>
  <w15:commentEx w15:paraId="1505F9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6C4"/>
    <w:multiLevelType w:val="hybridMultilevel"/>
    <w:tmpl w:val="5608E2A4"/>
    <w:lvl w:ilvl="0" w:tplc="4B2EB10E"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032B"/>
    <w:multiLevelType w:val="multilevel"/>
    <w:tmpl w:val="D35285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285545"/>
    <w:multiLevelType w:val="hybridMultilevel"/>
    <w:tmpl w:val="86E2342C"/>
    <w:lvl w:ilvl="0" w:tplc="D2466C50">
      <w:start w:val="1"/>
      <w:numFmt w:val="decimal"/>
      <w:pStyle w:val="a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775"/>
    <w:rsid w:val="000137E1"/>
    <w:rsid w:val="000231DE"/>
    <w:rsid w:val="00031D22"/>
    <w:rsid w:val="000447EE"/>
    <w:rsid w:val="00083D9E"/>
    <w:rsid w:val="0009131A"/>
    <w:rsid w:val="000A22CD"/>
    <w:rsid w:val="000B0D78"/>
    <w:rsid w:val="000C7A34"/>
    <w:rsid w:val="000D0F63"/>
    <w:rsid w:val="000E48C3"/>
    <w:rsid w:val="000E5262"/>
    <w:rsid w:val="00102586"/>
    <w:rsid w:val="00111232"/>
    <w:rsid w:val="0012236D"/>
    <w:rsid w:val="00154464"/>
    <w:rsid w:val="00163E48"/>
    <w:rsid w:val="00172168"/>
    <w:rsid w:val="00176E95"/>
    <w:rsid w:val="001B5EA7"/>
    <w:rsid w:val="001B7131"/>
    <w:rsid w:val="001C24CC"/>
    <w:rsid w:val="001C5B89"/>
    <w:rsid w:val="001E3067"/>
    <w:rsid w:val="0020548A"/>
    <w:rsid w:val="00212465"/>
    <w:rsid w:val="00215845"/>
    <w:rsid w:val="0022284E"/>
    <w:rsid w:val="00250B52"/>
    <w:rsid w:val="00250E2E"/>
    <w:rsid w:val="002529DB"/>
    <w:rsid w:val="00264202"/>
    <w:rsid w:val="002A2518"/>
    <w:rsid w:val="002A25A7"/>
    <w:rsid w:val="002A6328"/>
    <w:rsid w:val="002A7C6C"/>
    <w:rsid w:val="002B45FF"/>
    <w:rsid w:val="002B7CFD"/>
    <w:rsid w:val="002C11DA"/>
    <w:rsid w:val="002E15F1"/>
    <w:rsid w:val="002F58BB"/>
    <w:rsid w:val="0030647A"/>
    <w:rsid w:val="00316180"/>
    <w:rsid w:val="0033181B"/>
    <w:rsid w:val="003564B5"/>
    <w:rsid w:val="00357AB9"/>
    <w:rsid w:val="003C51E6"/>
    <w:rsid w:val="003D573F"/>
    <w:rsid w:val="003F460F"/>
    <w:rsid w:val="0040637E"/>
    <w:rsid w:val="00433315"/>
    <w:rsid w:val="00436236"/>
    <w:rsid w:val="004438FC"/>
    <w:rsid w:val="00445189"/>
    <w:rsid w:val="00467137"/>
    <w:rsid w:val="004921E2"/>
    <w:rsid w:val="004951E2"/>
    <w:rsid w:val="004A0EBA"/>
    <w:rsid w:val="004A1CAE"/>
    <w:rsid w:val="004A2908"/>
    <w:rsid w:val="004A5AD1"/>
    <w:rsid w:val="004B084C"/>
    <w:rsid w:val="004D0325"/>
    <w:rsid w:val="004D7783"/>
    <w:rsid w:val="005002CC"/>
    <w:rsid w:val="0050452C"/>
    <w:rsid w:val="005074C0"/>
    <w:rsid w:val="005225BB"/>
    <w:rsid w:val="00524766"/>
    <w:rsid w:val="005306EB"/>
    <w:rsid w:val="0053682D"/>
    <w:rsid w:val="00537516"/>
    <w:rsid w:val="00560386"/>
    <w:rsid w:val="00580D27"/>
    <w:rsid w:val="00581C52"/>
    <w:rsid w:val="00581F29"/>
    <w:rsid w:val="005830F4"/>
    <w:rsid w:val="00595CC7"/>
    <w:rsid w:val="005C299D"/>
    <w:rsid w:val="005C3243"/>
    <w:rsid w:val="005D72EE"/>
    <w:rsid w:val="006132B6"/>
    <w:rsid w:val="00651021"/>
    <w:rsid w:val="0066412A"/>
    <w:rsid w:val="00675900"/>
    <w:rsid w:val="006838F8"/>
    <w:rsid w:val="006B4BEE"/>
    <w:rsid w:val="006B6B96"/>
    <w:rsid w:val="006B7ECE"/>
    <w:rsid w:val="006C1E79"/>
    <w:rsid w:val="006C23F8"/>
    <w:rsid w:val="006C3E36"/>
    <w:rsid w:val="006E19EB"/>
    <w:rsid w:val="006E217E"/>
    <w:rsid w:val="006E40A8"/>
    <w:rsid w:val="006F2A3E"/>
    <w:rsid w:val="006F5F25"/>
    <w:rsid w:val="00713CE0"/>
    <w:rsid w:val="007152CF"/>
    <w:rsid w:val="00747B25"/>
    <w:rsid w:val="00752DD8"/>
    <w:rsid w:val="00785656"/>
    <w:rsid w:val="007A3335"/>
    <w:rsid w:val="007A7874"/>
    <w:rsid w:val="007B5B82"/>
    <w:rsid w:val="007C047B"/>
    <w:rsid w:val="007C7104"/>
    <w:rsid w:val="007C7FF5"/>
    <w:rsid w:val="007D08C2"/>
    <w:rsid w:val="008012A2"/>
    <w:rsid w:val="00804663"/>
    <w:rsid w:val="00811186"/>
    <w:rsid w:val="0081670C"/>
    <w:rsid w:val="00826F3C"/>
    <w:rsid w:val="00843096"/>
    <w:rsid w:val="00845A14"/>
    <w:rsid w:val="00851155"/>
    <w:rsid w:val="00851F38"/>
    <w:rsid w:val="00857F8D"/>
    <w:rsid w:val="0086505D"/>
    <w:rsid w:val="0087797C"/>
    <w:rsid w:val="008813F6"/>
    <w:rsid w:val="00882766"/>
    <w:rsid w:val="008838C4"/>
    <w:rsid w:val="00887A0E"/>
    <w:rsid w:val="008905B3"/>
    <w:rsid w:val="008926EE"/>
    <w:rsid w:val="00893B98"/>
    <w:rsid w:val="00897238"/>
    <w:rsid w:val="008A22DD"/>
    <w:rsid w:val="008A690D"/>
    <w:rsid w:val="008B623F"/>
    <w:rsid w:val="008C7C65"/>
    <w:rsid w:val="008D5059"/>
    <w:rsid w:val="008E5582"/>
    <w:rsid w:val="008E71F8"/>
    <w:rsid w:val="008F3427"/>
    <w:rsid w:val="008F4688"/>
    <w:rsid w:val="008F55CA"/>
    <w:rsid w:val="00915978"/>
    <w:rsid w:val="009205AA"/>
    <w:rsid w:val="00932193"/>
    <w:rsid w:val="00945FAE"/>
    <w:rsid w:val="00955AAF"/>
    <w:rsid w:val="00960A06"/>
    <w:rsid w:val="00964915"/>
    <w:rsid w:val="0097222F"/>
    <w:rsid w:val="0098627C"/>
    <w:rsid w:val="00987B1D"/>
    <w:rsid w:val="009A04FF"/>
    <w:rsid w:val="009A141B"/>
    <w:rsid w:val="009D668B"/>
    <w:rsid w:val="009E1306"/>
    <w:rsid w:val="009E2B0C"/>
    <w:rsid w:val="009F67A8"/>
    <w:rsid w:val="00A16BE7"/>
    <w:rsid w:val="00A3154C"/>
    <w:rsid w:val="00A32DAB"/>
    <w:rsid w:val="00A35A92"/>
    <w:rsid w:val="00A367B9"/>
    <w:rsid w:val="00A6271C"/>
    <w:rsid w:val="00A7279A"/>
    <w:rsid w:val="00AA0860"/>
    <w:rsid w:val="00AC25AA"/>
    <w:rsid w:val="00AD2660"/>
    <w:rsid w:val="00AE474C"/>
    <w:rsid w:val="00AE7B7F"/>
    <w:rsid w:val="00AF6C15"/>
    <w:rsid w:val="00B26897"/>
    <w:rsid w:val="00B47A8F"/>
    <w:rsid w:val="00B636CA"/>
    <w:rsid w:val="00B83277"/>
    <w:rsid w:val="00B95792"/>
    <w:rsid w:val="00BA46AB"/>
    <w:rsid w:val="00BF7077"/>
    <w:rsid w:val="00C005A2"/>
    <w:rsid w:val="00C02528"/>
    <w:rsid w:val="00C17A1D"/>
    <w:rsid w:val="00C64535"/>
    <w:rsid w:val="00C66520"/>
    <w:rsid w:val="00C66EBF"/>
    <w:rsid w:val="00C85281"/>
    <w:rsid w:val="00C94DA0"/>
    <w:rsid w:val="00CA246A"/>
    <w:rsid w:val="00CA6AC5"/>
    <w:rsid w:val="00CB0F02"/>
    <w:rsid w:val="00CB4FBB"/>
    <w:rsid w:val="00CC2D42"/>
    <w:rsid w:val="00CF35F0"/>
    <w:rsid w:val="00D1179C"/>
    <w:rsid w:val="00D26D68"/>
    <w:rsid w:val="00D619F7"/>
    <w:rsid w:val="00D86740"/>
    <w:rsid w:val="00D90FDE"/>
    <w:rsid w:val="00DA1553"/>
    <w:rsid w:val="00DA3775"/>
    <w:rsid w:val="00DB6DA9"/>
    <w:rsid w:val="00DC0747"/>
    <w:rsid w:val="00DC0E1B"/>
    <w:rsid w:val="00DD27F9"/>
    <w:rsid w:val="00DD39FE"/>
    <w:rsid w:val="00DD7594"/>
    <w:rsid w:val="00E01AB5"/>
    <w:rsid w:val="00E23851"/>
    <w:rsid w:val="00E26168"/>
    <w:rsid w:val="00E26CB6"/>
    <w:rsid w:val="00E31A12"/>
    <w:rsid w:val="00E4084B"/>
    <w:rsid w:val="00E525B5"/>
    <w:rsid w:val="00E57143"/>
    <w:rsid w:val="00E66EEC"/>
    <w:rsid w:val="00E7576C"/>
    <w:rsid w:val="00EA34F0"/>
    <w:rsid w:val="00EB2F9D"/>
    <w:rsid w:val="00EC1103"/>
    <w:rsid w:val="00ED7075"/>
    <w:rsid w:val="00EE1400"/>
    <w:rsid w:val="00F04C4B"/>
    <w:rsid w:val="00F06234"/>
    <w:rsid w:val="00F1115A"/>
    <w:rsid w:val="00F23515"/>
    <w:rsid w:val="00F24239"/>
    <w:rsid w:val="00F56A2E"/>
    <w:rsid w:val="00F71894"/>
    <w:rsid w:val="00F937ED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BB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059"/>
  </w:style>
  <w:style w:type="paragraph" w:styleId="10">
    <w:name w:val="heading 1"/>
    <w:aliases w:val="Раздел,Раздел_К"/>
    <w:basedOn w:val="a0"/>
    <w:next w:val="a0"/>
    <w:link w:val="11"/>
    <w:qFormat/>
    <w:rsid w:val="008D5059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aliases w:val="Подраздел,Подраздел_К"/>
    <w:basedOn w:val="a0"/>
    <w:next w:val="a0"/>
    <w:link w:val="20"/>
    <w:unhideWhenUsed/>
    <w:qFormat/>
    <w:rsid w:val="008D5059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aliases w:val="Пункт,Пункт_К"/>
    <w:basedOn w:val="a0"/>
    <w:next w:val="a0"/>
    <w:link w:val="30"/>
    <w:unhideWhenUsed/>
    <w:qFormat/>
    <w:rsid w:val="008D505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aliases w:val="Подпункт,Подпункт_К"/>
    <w:basedOn w:val="a0"/>
    <w:next w:val="a0"/>
    <w:link w:val="40"/>
    <w:unhideWhenUsed/>
    <w:qFormat/>
    <w:rsid w:val="008D5059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8D5059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0"/>
    <w:next w:val="a0"/>
    <w:link w:val="60"/>
    <w:unhideWhenUsed/>
    <w:qFormat/>
    <w:rsid w:val="008D5059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0"/>
    <w:next w:val="a0"/>
    <w:link w:val="70"/>
    <w:unhideWhenUsed/>
    <w:qFormat/>
    <w:rsid w:val="008D5059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0"/>
    <w:next w:val="a0"/>
    <w:link w:val="80"/>
    <w:unhideWhenUsed/>
    <w:qFormat/>
    <w:rsid w:val="008D5059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8D5059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Раздел_К Знак"/>
    <w:link w:val="10"/>
    <w:uiPriority w:val="9"/>
    <w:rsid w:val="008D505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aliases w:val="Подраздел Знак,Подраздел_К Знак"/>
    <w:link w:val="2"/>
    <w:uiPriority w:val="9"/>
    <w:semiHidden/>
    <w:rsid w:val="008D5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aliases w:val="Пункт Знак,Пункт_К Знак"/>
    <w:link w:val="3"/>
    <w:uiPriority w:val="9"/>
    <w:semiHidden/>
    <w:rsid w:val="008D5059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aliases w:val="Подпункт Знак,Подпункт_К Знак"/>
    <w:link w:val="4"/>
    <w:uiPriority w:val="9"/>
    <w:semiHidden/>
    <w:rsid w:val="008D5059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D5059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D505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D5059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D505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D505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0"/>
    <w:next w:val="a0"/>
    <w:link w:val="a5"/>
    <w:uiPriority w:val="10"/>
    <w:qFormat/>
    <w:rsid w:val="008D505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8D5059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8D5059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D505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D5059"/>
    <w:rPr>
      <w:b/>
      <w:bCs/>
    </w:rPr>
  </w:style>
  <w:style w:type="character" w:styleId="a9">
    <w:name w:val="Emphasis"/>
    <w:uiPriority w:val="20"/>
    <w:qFormat/>
    <w:rsid w:val="008D50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0"/>
    <w:uiPriority w:val="1"/>
    <w:qFormat/>
    <w:rsid w:val="008D5059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8D5059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D505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8D5059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8D50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30"/>
    <w:rsid w:val="008D5059"/>
    <w:rPr>
      <w:b/>
      <w:bCs/>
      <w:i/>
      <w:iCs/>
    </w:rPr>
  </w:style>
  <w:style w:type="character" w:styleId="ae">
    <w:name w:val="Subtle Emphasis"/>
    <w:uiPriority w:val="19"/>
    <w:qFormat/>
    <w:rsid w:val="008D5059"/>
    <w:rPr>
      <w:i/>
      <w:iCs/>
    </w:rPr>
  </w:style>
  <w:style w:type="character" w:styleId="af">
    <w:name w:val="Intense Emphasis"/>
    <w:uiPriority w:val="21"/>
    <w:qFormat/>
    <w:rsid w:val="008D5059"/>
    <w:rPr>
      <w:b/>
      <w:bCs/>
    </w:rPr>
  </w:style>
  <w:style w:type="character" w:styleId="af0">
    <w:name w:val="Subtle Reference"/>
    <w:uiPriority w:val="31"/>
    <w:qFormat/>
    <w:rsid w:val="008D5059"/>
    <w:rPr>
      <w:smallCaps/>
    </w:rPr>
  </w:style>
  <w:style w:type="character" w:styleId="af1">
    <w:name w:val="Intense Reference"/>
    <w:uiPriority w:val="32"/>
    <w:qFormat/>
    <w:rsid w:val="008D5059"/>
    <w:rPr>
      <w:smallCaps/>
      <w:spacing w:val="5"/>
      <w:u w:val="single"/>
    </w:rPr>
  </w:style>
  <w:style w:type="character" w:styleId="af2">
    <w:name w:val="Book Title"/>
    <w:uiPriority w:val="33"/>
    <w:qFormat/>
    <w:rsid w:val="008D5059"/>
    <w:rPr>
      <w:i/>
      <w:iCs/>
      <w:smallCaps/>
      <w:spacing w:val="5"/>
    </w:rPr>
  </w:style>
  <w:style w:type="paragraph" w:styleId="af3">
    <w:name w:val="TOC Heading"/>
    <w:basedOn w:val="10"/>
    <w:next w:val="a0"/>
    <w:uiPriority w:val="39"/>
    <w:semiHidden/>
    <w:unhideWhenUsed/>
    <w:qFormat/>
    <w:rsid w:val="008D5059"/>
    <w:pPr>
      <w:outlineLvl w:val="9"/>
    </w:pPr>
    <w:rPr>
      <w:lang w:bidi="en-US"/>
    </w:rPr>
  </w:style>
  <w:style w:type="character" w:styleId="af4">
    <w:name w:val="Hyperlink"/>
    <w:basedOn w:val="a1"/>
    <w:uiPriority w:val="99"/>
    <w:unhideWhenUsed/>
    <w:rsid w:val="00AE7B7F"/>
    <w:rPr>
      <w:color w:val="0000FF" w:themeColor="hyperlink"/>
      <w:u w:val="single"/>
    </w:rPr>
  </w:style>
  <w:style w:type="paragraph" w:styleId="af5">
    <w:name w:val="Body Text"/>
    <w:aliases w:val="Основной текст_К,Основной текст Знак Знак,body text,Знак,Основной текст Знак Знак Знак Знак"/>
    <w:basedOn w:val="a0"/>
    <w:link w:val="af6"/>
    <w:qFormat/>
    <w:rsid w:val="00B636C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_К Знак,Основной текст Знак Знак Знак,body text Знак,Знак Знак,Основной текст Знак Знак Знак Знак Знак"/>
    <w:basedOn w:val="a1"/>
    <w:link w:val="af5"/>
    <w:rsid w:val="00B63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Литература"/>
    <w:basedOn w:val="af5"/>
    <w:link w:val="af7"/>
    <w:qFormat/>
    <w:rsid w:val="000A22CD"/>
    <w:pPr>
      <w:numPr>
        <w:numId w:val="1"/>
      </w:numPr>
      <w:tabs>
        <w:tab w:val="left" w:pos="993"/>
      </w:tabs>
      <w:ind w:left="0" w:firstLine="709"/>
    </w:pPr>
  </w:style>
  <w:style w:type="character" w:customStyle="1" w:styleId="af7">
    <w:name w:val="Литература Знак"/>
    <w:basedOn w:val="af6"/>
    <w:link w:val="a"/>
    <w:rsid w:val="000A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A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A367B9"/>
    <w:rPr>
      <w:rFonts w:ascii="Segoe UI" w:hAnsi="Segoe UI" w:cs="Segoe UI"/>
      <w:sz w:val="18"/>
      <w:szCs w:val="18"/>
    </w:rPr>
  </w:style>
  <w:style w:type="character" w:styleId="afa">
    <w:name w:val="annotation reference"/>
    <w:basedOn w:val="a1"/>
    <w:uiPriority w:val="99"/>
    <w:semiHidden/>
    <w:unhideWhenUsed/>
    <w:rsid w:val="006F2A3E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F2A3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F2A3E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F2A3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F2A3E"/>
    <w:rPr>
      <w:b/>
      <w:bCs/>
      <w:sz w:val="20"/>
      <w:szCs w:val="20"/>
    </w:rPr>
  </w:style>
  <w:style w:type="paragraph" w:customStyle="1" w:styleId="1">
    <w:name w:val="Список 1 уровень"/>
    <w:basedOn w:val="af5"/>
    <w:link w:val="12"/>
    <w:qFormat/>
    <w:rsid w:val="008B623F"/>
    <w:pPr>
      <w:numPr>
        <w:numId w:val="2"/>
      </w:numPr>
      <w:tabs>
        <w:tab w:val="left" w:pos="284"/>
      </w:tabs>
      <w:spacing w:before="0" w:after="0"/>
      <w:ind w:left="0" w:firstLine="0"/>
    </w:pPr>
  </w:style>
  <w:style w:type="character" w:customStyle="1" w:styleId="12">
    <w:name w:val="Список 1 уровень Знак"/>
    <w:basedOn w:val="a1"/>
    <w:link w:val="1"/>
    <w:rsid w:val="008B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екст отчёта"/>
    <w:basedOn w:val="af5"/>
    <w:link w:val="aff0"/>
    <w:qFormat/>
    <w:rsid w:val="008B623F"/>
  </w:style>
  <w:style w:type="character" w:customStyle="1" w:styleId="aff0">
    <w:name w:val="Текст отчёта Знак"/>
    <w:basedOn w:val="af6"/>
    <w:link w:val="aff"/>
    <w:rsid w:val="008B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Рисунок вставка"/>
    <w:basedOn w:val="a0"/>
    <w:next w:val="aff2"/>
    <w:link w:val="aff3"/>
    <w:autoRedefine/>
    <w:qFormat/>
    <w:rsid w:val="008012A2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lang w:eastAsia="ru-RU"/>
    </w:rPr>
  </w:style>
  <w:style w:type="paragraph" w:customStyle="1" w:styleId="aff2">
    <w:name w:val="Рисунок название"/>
    <w:basedOn w:val="a0"/>
    <w:link w:val="aff4"/>
    <w:qFormat/>
    <w:rsid w:val="008012A2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f3">
    <w:name w:val="Рисунок вставка Знак"/>
    <w:basedOn w:val="a1"/>
    <w:link w:val="aff1"/>
    <w:rsid w:val="008012A2"/>
    <w:rPr>
      <w:rFonts w:ascii="Times New Roman" w:hAnsi="Times New Roman" w:cs="Times New Roman"/>
      <w:sz w:val="24"/>
      <w:lang w:eastAsia="ru-RU"/>
    </w:rPr>
  </w:style>
  <w:style w:type="character" w:customStyle="1" w:styleId="aff4">
    <w:name w:val="Рисунок название Знак"/>
    <w:basedOn w:val="a1"/>
    <w:link w:val="aff2"/>
    <w:rsid w:val="008012A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ff5">
    <w:name w:val="Table Grid"/>
    <w:basedOn w:val="a2"/>
    <w:uiPriority w:val="59"/>
    <w:rsid w:val="00F04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Ячейка таблицы"/>
    <w:basedOn w:val="af5"/>
    <w:link w:val="aff7"/>
    <w:qFormat/>
    <w:rsid w:val="00F04C4B"/>
    <w:pPr>
      <w:spacing w:before="0" w:after="0" w:line="240" w:lineRule="auto"/>
      <w:ind w:firstLine="0"/>
    </w:pPr>
  </w:style>
  <w:style w:type="paragraph" w:customStyle="1" w:styleId="aff8">
    <w:name w:val="Табл. название"/>
    <w:basedOn w:val="aff9"/>
    <w:next w:val="a0"/>
    <w:link w:val="affa"/>
    <w:qFormat/>
    <w:rsid w:val="00F04C4B"/>
    <w:pPr>
      <w:spacing w:before="120" w:after="24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ru-RU"/>
    </w:rPr>
  </w:style>
  <w:style w:type="character" w:customStyle="1" w:styleId="affa">
    <w:name w:val="Табл. название Знак"/>
    <w:link w:val="aff8"/>
    <w:rsid w:val="00F04C4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7">
    <w:name w:val="Ячейка таблицы Знак"/>
    <w:basedOn w:val="a1"/>
    <w:link w:val="aff6"/>
    <w:rsid w:val="00F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Шапка таблицы"/>
    <w:basedOn w:val="aff6"/>
    <w:link w:val="affc"/>
    <w:qFormat/>
    <w:rsid w:val="00F04C4B"/>
    <w:pPr>
      <w:keepNext/>
      <w:jc w:val="center"/>
    </w:pPr>
  </w:style>
  <w:style w:type="character" w:customStyle="1" w:styleId="affc">
    <w:name w:val="Шапка таблицы Знак"/>
    <w:basedOn w:val="aff7"/>
    <w:link w:val="affb"/>
    <w:rsid w:val="00F0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0"/>
    <w:next w:val="a0"/>
    <w:uiPriority w:val="35"/>
    <w:semiHidden/>
    <w:unhideWhenUsed/>
    <w:rsid w:val="00F04C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fd">
    <w:name w:val="Курсив Знак"/>
    <w:basedOn w:val="a1"/>
    <w:link w:val="affe"/>
    <w:locked/>
    <w:rsid w:val="002529DB"/>
    <w:rPr>
      <w:i/>
      <w:sz w:val="24"/>
      <w:szCs w:val="24"/>
    </w:rPr>
  </w:style>
  <w:style w:type="paragraph" w:customStyle="1" w:styleId="affe">
    <w:name w:val="Курсив"/>
    <w:basedOn w:val="af5"/>
    <w:link w:val="affd"/>
    <w:qFormat/>
    <w:rsid w:val="002529DB"/>
    <w:rPr>
      <w:rFonts w:asciiTheme="minorHAnsi" w:eastAsiaTheme="minorHAnsi" w:hAnsiTheme="minorHAnsi" w:cstheme="minorBidi"/>
      <w:i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18" Type="http://schemas.openxmlformats.org/officeDocument/2006/relationships/hyperlink" Target="https://www.elibrary.ru/contents.asp?id=416688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1.vsdx"/><Relationship Id="rId17" Type="http://schemas.openxmlformats.org/officeDocument/2006/relationships/hyperlink" Target="https://www.elibrary.ru/item.asp?id=41668818" TargetMode="Externa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izub@ibrae.ac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12.vsdx"/><Relationship Id="rId23" Type="http://schemas.microsoft.com/office/2011/relationships/people" Target="people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elibrary.ru/contents.asp?id=41668812&amp;selid=416688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lina\Documents\&#1079;&#1072;&#1076;&#1072;&#1095;&#1072;%202\MOUSE\&#1050;&#1054;&#1056;&#1048;&#1044;&#1040;%20+%20MOU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lina\Documents\&#1079;&#1072;&#1076;&#1072;&#1095;&#1072;%202\MOUSE\&#1050;&#1054;&#1056;&#1048;&#1044;&#1040;%20+%20MOU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7821753558366"/>
          <c:y val="8.5134160961291616E-2"/>
          <c:w val="0.86418005018095212"/>
          <c:h val="0.82127617204146897"/>
        </c:manualLayout>
      </c:layout>
      <c:scatterChart>
        <c:scatterStyle val="smoothMarker"/>
        <c:varyColors val="0"/>
        <c:ser>
          <c:idx val="1"/>
          <c:order val="0"/>
          <c:tx>
            <c:v>Вариант 1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'КОРИДА + MOUSE'!$A$30:$A$47</c:f>
              <c:numCache>
                <c:formatCode>General</c:formatCode>
                <c:ptCount val="18"/>
                <c:pt idx="0">
                  <c:v>5.2</c:v>
                </c:pt>
                <c:pt idx="1">
                  <c:v>20</c:v>
                </c:pt>
                <c:pt idx="2">
                  <c:v>35</c:v>
                </c:pt>
                <c:pt idx="3">
                  <c:v>65</c:v>
                </c:pt>
                <c:pt idx="4">
                  <c:v>95</c:v>
                </c:pt>
                <c:pt idx="5">
                  <c:v>125</c:v>
                </c:pt>
                <c:pt idx="6">
                  <c:v>155</c:v>
                </c:pt>
                <c:pt idx="7">
                  <c:v>185</c:v>
                </c:pt>
                <c:pt idx="8">
                  <c:v>215</c:v>
                </c:pt>
                <c:pt idx="9">
                  <c:v>245</c:v>
                </c:pt>
                <c:pt idx="10">
                  <c:v>275</c:v>
                </c:pt>
                <c:pt idx="11">
                  <c:v>305</c:v>
                </c:pt>
                <c:pt idx="12">
                  <c:v>335</c:v>
                </c:pt>
                <c:pt idx="13">
                  <c:v>365</c:v>
                </c:pt>
                <c:pt idx="14">
                  <c:v>395</c:v>
                </c:pt>
                <c:pt idx="15">
                  <c:v>405</c:v>
                </c:pt>
                <c:pt idx="16">
                  <c:v>440</c:v>
                </c:pt>
                <c:pt idx="17">
                  <c:v>475</c:v>
                </c:pt>
              </c:numCache>
            </c:numRef>
          </c:xVal>
          <c:yVal>
            <c:numRef>
              <c:f>'КОРИДА + MOUSE'!$BG$30:$BG$47</c:f>
              <c:numCache>
                <c:formatCode>0.00E+00</c:formatCode>
                <c:ptCount val="18"/>
                <c:pt idx="0">
                  <c:v>29.69302045846759</c:v>
                </c:pt>
                <c:pt idx="1">
                  <c:v>43.483762913853852</c:v>
                </c:pt>
                <c:pt idx="2">
                  <c:v>51.199398012030308</c:v>
                </c:pt>
                <c:pt idx="3">
                  <c:v>28.874429020252268</c:v>
                </c:pt>
                <c:pt idx="4">
                  <c:v>41.238324853777065</c:v>
                </c:pt>
                <c:pt idx="5">
                  <c:v>42.621190317170971</c:v>
                </c:pt>
                <c:pt idx="6">
                  <c:v>39.324499894090344</c:v>
                </c:pt>
                <c:pt idx="7">
                  <c:v>37.771522159436195</c:v>
                </c:pt>
                <c:pt idx="8">
                  <c:v>37.181752840332912</c:v>
                </c:pt>
                <c:pt idx="9">
                  <c:v>38.167202110672186</c:v>
                </c:pt>
                <c:pt idx="10">
                  <c:v>40.192147807949311</c:v>
                </c:pt>
                <c:pt idx="11">
                  <c:v>44.534141741851393</c:v>
                </c:pt>
                <c:pt idx="12">
                  <c:v>49.771479542938302</c:v>
                </c:pt>
                <c:pt idx="13">
                  <c:v>28.251667442089893</c:v>
                </c:pt>
                <c:pt idx="14">
                  <c:v>18.580674701432439</c:v>
                </c:pt>
                <c:pt idx="15">
                  <c:v>18.086394926105964</c:v>
                </c:pt>
                <c:pt idx="16">
                  <c:v>14.760444581755817</c:v>
                </c:pt>
                <c:pt idx="17">
                  <c:v>11.885219072071688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BF5-4579-A544-5F2945D5C8AF}"/>
            </c:ext>
          </c:extLst>
        </c:ser>
        <c:ser>
          <c:idx val="8"/>
          <c:order val="1"/>
          <c:tx>
            <c:v>КИРО</c:v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'\Users\polina\Documents\задача 2\АН-2983\[АН-2983.xlsx]Зак. кан. нов. сетки у пов. ап.'!$P$140:$P$157</c:f>
              <c:numCache>
                <c:formatCode>General</c:formatCode>
                <c:ptCount val="18"/>
                <c:pt idx="0">
                  <c:v>5.2</c:v>
                </c:pt>
                <c:pt idx="1">
                  <c:v>20</c:v>
                </c:pt>
                <c:pt idx="2">
                  <c:v>35</c:v>
                </c:pt>
                <c:pt idx="3">
                  <c:v>65</c:v>
                </c:pt>
                <c:pt idx="4">
                  <c:v>95</c:v>
                </c:pt>
                <c:pt idx="5">
                  <c:v>125</c:v>
                </c:pt>
                <c:pt idx="6">
                  <c:v>155</c:v>
                </c:pt>
                <c:pt idx="7">
                  <c:v>185</c:v>
                </c:pt>
                <c:pt idx="8">
                  <c:v>215</c:v>
                </c:pt>
                <c:pt idx="9">
                  <c:v>245</c:v>
                </c:pt>
                <c:pt idx="10">
                  <c:v>275</c:v>
                </c:pt>
                <c:pt idx="11">
                  <c:v>305</c:v>
                </c:pt>
                <c:pt idx="12">
                  <c:v>335</c:v>
                </c:pt>
                <c:pt idx="13">
                  <c:v>365</c:v>
                </c:pt>
                <c:pt idx="14">
                  <c:v>395</c:v>
                </c:pt>
                <c:pt idx="15">
                  <c:v>405</c:v>
                </c:pt>
                <c:pt idx="16">
                  <c:v>440</c:v>
                </c:pt>
                <c:pt idx="17">
                  <c:v>475</c:v>
                </c:pt>
              </c:numCache>
            </c:numRef>
          </c:xVal>
          <c:yVal>
            <c:numRef>
              <c:f>'\Users\polina\Documents\задача 2\АН-2983\[АН-2983.xlsx]Зак. кан. нов. сетки у пов. ап.'!$Q$140:$Q$157</c:f>
              <c:numCache>
                <c:formatCode>General</c:formatCode>
                <c:ptCount val="18"/>
                <c:pt idx="0">
                  <c:v>43.831332971947091</c:v>
                </c:pt>
                <c:pt idx="1">
                  <c:v>46.767025352320772</c:v>
                </c:pt>
                <c:pt idx="2">
                  <c:v>50.082162899901761</c:v>
                </c:pt>
                <c:pt idx="3">
                  <c:v>26.620821049144748</c:v>
                </c:pt>
                <c:pt idx="4">
                  <c:v>30.720382505916817</c:v>
                </c:pt>
                <c:pt idx="5">
                  <c:v>34.930051965363475</c:v>
                </c:pt>
                <c:pt idx="6">
                  <c:v>34.942584821746934</c:v>
                </c:pt>
                <c:pt idx="7">
                  <c:v>34.835606230987686</c:v>
                </c:pt>
                <c:pt idx="8">
                  <c:v>34.696561369252805</c:v>
                </c:pt>
                <c:pt idx="9">
                  <c:v>34.509640560914377</c:v>
                </c:pt>
                <c:pt idx="10">
                  <c:v>34.311161172010749</c:v>
                </c:pt>
                <c:pt idx="11">
                  <c:v>33.89818563107783</c:v>
                </c:pt>
                <c:pt idx="12">
                  <c:v>33.126454818782605</c:v>
                </c:pt>
                <c:pt idx="13">
                  <c:v>18.730129089733634</c:v>
                </c:pt>
                <c:pt idx="14">
                  <c:v>18.285917838229267</c:v>
                </c:pt>
                <c:pt idx="15">
                  <c:v>22.887293073066417</c:v>
                </c:pt>
                <c:pt idx="16">
                  <c:v>15.694382836430346</c:v>
                </c:pt>
                <c:pt idx="17">
                  <c:v>11.679417914983752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BF5-4579-A544-5F2945D5C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210048"/>
        <c:axId val="169211008"/>
      </c:scatterChart>
      <c:valAx>
        <c:axId val="174210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Расстояние</a:t>
                </a: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 от пола каньона, см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high"/>
        <c:crossAx val="169211008"/>
        <c:crosses val="autoZero"/>
        <c:crossBetween val="midCat"/>
      </c:valAx>
      <c:valAx>
        <c:axId val="1692110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МЭД, мкЗв/час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high"/>
        <c:crossAx val="1742100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868217054263571"/>
          <c:y val="0.76687183709879514"/>
          <c:w val="0.30535641880956416"/>
          <c:h val="0.12769999775905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67821753558368"/>
          <c:y val="8.5134160961291686E-2"/>
          <c:w val="0.86418005018095212"/>
          <c:h val="0.82127617204146897"/>
        </c:manualLayout>
      </c:layout>
      <c:scatterChart>
        <c:scatterStyle val="smoothMarker"/>
        <c:varyColors val="0"/>
        <c:ser>
          <c:idx val="1"/>
          <c:order val="0"/>
          <c:tx>
            <c:v>Вариант 2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'КОРИДА + MOUSE'!$A$30:$A$47</c:f>
              <c:numCache>
                <c:formatCode>General</c:formatCode>
                <c:ptCount val="18"/>
                <c:pt idx="0">
                  <c:v>5.2</c:v>
                </c:pt>
                <c:pt idx="1">
                  <c:v>20</c:v>
                </c:pt>
                <c:pt idx="2">
                  <c:v>35</c:v>
                </c:pt>
                <c:pt idx="3">
                  <c:v>65</c:v>
                </c:pt>
                <c:pt idx="4">
                  <c:v>95</c:v>
                </c:pt>
                <c:pt idx="5">
                  <c:v>125</c:v>
                </c:pt>
                <c:pt idx="6">
                  <c:v>155</c:v>
                </c:pt>
                <c:pt idx="7">
                  <c:v>185</c:v>
                </c:pt>
                <c:pt idx="8">
                  <c:v>215</c:v>
                </c:pt>
                <c:pt idx="9">
                  <c:v>245</c:v>
                </c:pt>
                <c:pt idx="10">
                  <c:v>275</c:v>
                </c:pt>
                <c:pt idx="11">
                  <c:v>305</c:v>
                </c:pt>
                <c:pt idx="12">
                  <c:v>335</c:v>
                </c:pt>
                <c:pt idx="13">
                  <c:v>365</c:v>
                </c:pt>
                <c:pt idx="14">
                  <c:v>395</c:v>
                </c:pt>
                <c:pt idx="15">
                  <c:v>405</c:v>
                </c:pt>
                <c:pt idx="16">
                  <c:v>440</c:v>
                </c:pt>
                <c:pt idx="17">
                  <c:v>475</c:v>
                </c:pt>
              </c:numCache>
            </c:numRef>
          </c:xVal>
          <c:yVal>
            <c:numRef>
              <c:f>'КОРИДА + MOUSE'!$BG$54:$BG$71</c:f>
              <c:numCache>
                <c:formatCode>0.00E+00</c:formatCode>
                <c:ptCount val="18"/>
                <c:pt idx="0">
                  <c:v>43.970422615466944</c:v>
                </c:pt>
                <c:pt idx="1">
                  <c:v>47.679687068590859</c:v>
                </c:pt>
                <c:pt idx="2">
                  <c:v>51.259693362825068</c:v>
                </c:pt>
                <c:pt idx="3">
                  <c:v>26.95268399986352</c:v>
                </c:pt>
                <c:pt idx="4">
                  <c:v>34.597000163913293</c:v>
                </c:pt>
                <c:pt idx="5">
                  <c:v>39.300258630306416</c:v>
                </c:pt>
                <c:pt idx="6">
                  <c:v>38.851891066289326</c:v>
                </c:pt>
                <c:pt idx="7">
                  <c:v>38.404663920453196</c:v>
                </c:pt>
                <c:pt idx="8">
                  <c:v>37.990267055743189</c:v>
                </c:pt>
                <c:pt idx="9">
                  <c:v>37.693412378152665</c:v>
                </c:pt>
                <c:pt idx="10">
                  <c:v>37.413218409646461</c:v>
                </c:pt>
                <c:pt idx="11">
                  <c:v>36.86295808464434</c:v>
                </c:pt>
                <c:pt idx="12">
                  <c:v>35.732541208434398</c:v>
                </c:pt>
                <c:pt idx="13">
                  <c:v>17.354894747441353</c:v>
                </c:pt>
                <c:pt idx="14">
                  <c:v>15.587039033469164</c:v>
                </c:pt>
                <c:pt idx="15">
                  <c:v>18.866079618547129</c:v>
                </c:pt>
                <c:pt idx="16">
                  <c:v>13.799971427455382</c:v>
                </c:pt>
                <c:pt idx="17">
                  <c:v>10.741454611356675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500-4B8B-AB59-8278492CC5F0}"/>
            </c:ext>
          </c:extLst>
        </c:ser>
        <c:ser>
          <c:idx val="8"/>
          <c:order val="1"/>
          <c:tx>
            <c:v>КИРО</c:v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'\Users\polina\Documents\задача 2\АН-2983\[АН-2983.xlsx]Зак. кан. нов. сетки у пов. ап.'!$P$140:$P$157</c:f>
              <c:numCache>
                <c:formatCode>General</c:formatCode>
                <c:ptCount val="18"/>
                <c:pt idx="0">
                  <c:v>5.2</c:v>
                </c:pt>
                <c:pt idx="1">
                  <c:v>20</c:v>
                </c:pt>
                <c:pt idx="2">
                  <c:v>35</c:v>
                </c:pt>
                <c:pt idx="3">
                  <c:v>65</c:v>
                </c:pt>
                <c:pt idx="4">
                  <c:v>95</c:v>
                </c:pt>
                <c:pt idx="5">
                  <c:v>125</c:v>
                </c:pt>
                <c:pt idx="6">
                  <c:v>155</c:v>
                </c:pt>
                <c:pt idx="7">
                  <c:v>185</c:v>
                </c:pt>
                <c:pt idx="8">
                  <c:v>215</c:v>
                </c:pt>
                <c:pt idx="9">
                  <c:v>245</c:v>
                </c:pt>
                <c:pt idx="10">
                  <c:v>275</c:v>
                </c:pt>
                <c:pt idx="11">
                  <c:v>305</c:v>
                </c:pt>
                <c:pt idx="12">
                  <c:v>335</c:v>
                </c:pt>
                <c:pt idx="13">
                  <c:v>365</c:v>
                </c:pt>
                <c:pt idx="14">
                  <c:v>395</c:v>
                </c:pt>
                <c:pt idx="15">
                  <c:v>405</c:v>
                </c:pt>
                <c:pt idx="16">
                  <c:v>440</c:v>
                </c:pt>
                <c:pt idx="17">
                  <c:v>475</c:v>
                </c:pt>
              </c:numCache>
            </c:numRef>
          </c:xVal>
          <c:yVal>
            <c:numRef>
              <c:f>'\Users\polina\Documents\задача 2\АН-2983\[АН-2983.xlsx]Зак. кан. нов. сетки у пов. ап.'!$Q$140:$Q$157</c:f>
              <c:numCache>
                <c:formatCode>General</c:formatCode>
                <c:ptCount val="18"/>
                <c:pt idx="0">
                  <c:v>43.831332971947091</c:v>
                </c:pt>
                <c:pt idx="1">
                  <c:v>46.767025352320772</c:v>
                </c:pt>
                <c:pt idx="2">
                  <c:v>50.082162899901761</c:v>
                </c:pt>
                <c:pt idx="3">
                  <c:v>26.620821049144748</c:v>
                </c:pt>
                <c:pt idx="4">
                  <c:v>30.720382505916817</c:v>
                </c:pt>
                <c:pt idx="5">
                  <c:v>34.930051965363475</c:v>
                </c:pt>
                <c:pt idx="6">
                  <c:v>34.942584821746934</c:v>
                </c:pt>
                <c:pt idx="7">
                  <c:v>34.835606230987686</c:v>
                </c:pt>
                <c:pt idx="8">
                  <c:v>34.696561369252805</c:v>
                </c:pt>
                <c:pt idx="9">
                  <c:v>34.509640560914377</c:v>
                </c:pt>
                <c:pt idx="10">
                  <c:v>34.311161172010749</c:v>
                </c:pt>
                <c:pt idx="11">
                  <c:v>33.89818563107783</c:v>
                </c:pt>
                <c:pt idx="12">
                  <c:v>33.126454818782605</c:v>
                </c:pt>
                <c:pt idx="13">
                  <c:v>18.730129089733634</c:v>
                </c:pt>
                <c:pt idx="14">
                  <c:v>18.285917838229267</c:v>
                </c:pt>
                <c:pt idx="15">
                  <c:v>22.887293073066417</c:v>
                </c:pt>
                <c:pt idx="16">
                  <c:v>15.694382836430346</c:v>
                </c:pt>
                <c:pt idx="17">
                  <c:v>11.679417914983752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500-4B8B-AB59-8278492CC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276928"/>
        <c:axId val="172761856"/>
      </c:scatterChart>
      <c:valAx>
        <c:axId val="171276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Расстояние</a:t>
                </a:r>
                <a:r>
                  <a:rPr lang="ru-RU" sz="1200" b="0" baseline="0">
                    <a:latin typeface="Times New Roman" pitchFamily="18" charset="0"/>
                    <a:cs typeface="Times New Roman" pitchFamily="18" charset="0"/>
                  </a:rPr>
                  <a:t> от пола каньона, см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high"/>
        <c:crossAx val="172761856"/>
        <c:crosses val="autoZero"/>
        <c:crossBetween val="midCat"/>
      </c:valAx>
      <c:valAx>
        <c:axId val="1727618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МЭД, мкЗв/час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high"/>
        <c:crossAx val="1712769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5110109899364186"/>
          <c:y val="0.75679252442842282"/>
          <c:w val="0.30535641880956438"/>
          <c:h val="0.12769999775905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elenasav</dc:creator>
  <cp:lastModifiedBy>elenasav</cp:lastModifiedBy>
  <cp:revision>4</cp:revision>
  <dcterms:created xsi:type="dcterms:W3CDTF">2021-10-01T10:35:00Z</dcterms:created>
  <dcterms:modified xsi:type="dcterms:W3CDTF">2021-10-01T12:14:00Z</dcterms:modified>
</cp:coreProperties>
</file>